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olor w:val="000000"/>
          <w:kern w:val="0"/>
          <w:sz w:val="32"/>
          <w:szCs w:val="32"/>
        </w:rPr>
      </w:pPr>
      <w:r>
        <w:rPr>
          <w:rFonts w:hint="eastAsia" w:ascii="黑体" w:hAnsi="黑体" w:eastAsia="黑体"/>
          <w:color w:val="000000"/>
          <w:kern w:val="0"/>
          <w:sz w:val="32"/>
          <w:szCs w:val="32"/>
        </w:rPr>
        <w:t>附件</w:t>
      </w:r>
      <w:bookmarkStart w:id="0" w:name="_GoBack"/>
      <w:bookmarkEnd w:id="0"/>
    </w:p>
    <w:p>
      <w:pPr>
        <w:spacing w:line="580" w:lineRule="exact"/>
        <w:rPr>
          <w:rFonts w:ascii="仿宋" w:hAnsi="仿宋" w:eastAsia="仿宋"/>
          <w:color w:val="000000"/>
          <w:kern w:val="0"/>
          <w:sz w:val="32"/>
          <w:szCs w:val="32"/>
        </w:rPr>
      </w:pPr>
      <w:r>
        <w:rPr>
          <w:rFonts w:hint="eastAsia" w:ascii="仿宋" w:hAnsi="仿宋" w:eastAsia="仿宋"/>
          <w:color w:val="000000"/>
          <w:kern w:val="0"/>
          <w:sz w:val="32"/>
          <w:szCs w:val="32"/>
        </w:rPr>
        <w:t xml:space="preserve"> </w:t>
      </w:r>
    </w:p>
    <w:p>
      <w:pPr>
        <w:pStyle w:val="33"/>
      </w:pPr>
      <w:r>
        <w:rPr>
          <w:rFonts w:hint="eastAsia"/>
        </w:rPr>
        <w:t xml:space="preserve"> </w:t>
      </w:r>
    </w:p>
    <w:p>
      <w:pPr>
        <w:spacing w:line="842" w:lineRule="exact"/>
        <w:jc w:val="center"/>
        <w:outlineLvl w:val="0"/>
        <w:rPr>
          <w:rFonts w:ascii="方正小标宋简体" w:hAnsi="Calibri" w:eastAsia="方正小标宋简体" w:cs="宋体"/>
          <w:color w:val="000000"/>
          <w:kern w:val="44"/>
          <w:sz w:val="44"/>
          <w:szCs w:val="44"/>
        </w:rPr>
      </w:pPr>
      <w:r>
        <w:rPr>
          <w:rFonts w:hint="eastAsia" w:ascii="方正小标宋简体" w:hAnsi="Calibri" w:eastAsia="方正小标宋简体" w:cs="宋体"/>
          <w:color w:val="000000"/>
          <w:kern w:val="44"/>
          <w:sz w:val="44"/>
          <w:szCs w:val="44"/>
        </w:rPr>
        <w:t>广西普通本科高校示范性现代产业学院</w:t>
      </w:r>
    </w:p>
    <w:p>
      <w:pPr>
        <w:spacing w:line="842" w:lineRule="exact"/>
        <w:jc w:val="center"/>
        <w:outlineLvl w:val="0"/>
        <w:rPr>
          <w:rFonts w:ascii="宋体" w:hAnsi="宋体" w:eastAsia="方正小标宋简体" w:cs="宋体"/>
          <w:bCs/>
          <w:color w:val="000000"/>
          <w:kern w:val="44"/>
          <w:sz w:val="44"/>
          <w:szCs w:val="44"/>
        </w:rPr>
      </w:pPr>
      <w:r>
        <w:rPr>
          <w:rFonts w:hint="eastAsia" w:ascii="方正小标宋简体" w:hAnsi="Calibri" w:eastAsia="方正小标宋简体" w:cs="宋体"/>
          <w:color w:val="000000"/>
          <w:kern w:val="44"/>
          <w:sz w:val="44"/>
          <w:szCs w:val="44"/>
        </w:rPr>
        <w:t>中期评估自评报告</w:t>
      </w:r>
    </w:p>
    <w:p>
      <w:pPr>
        <w:spacing w:line="580" w:lineRule="exact"/>
        <w:rPr>
          <w:rFonts w:ascii="仿宋" w:hAnsi="仿宋" w:eastAsia="仿宋"/>
          <w:color w:val="000000"/>
          <w:kern w:val="0"/>
          <w:sz w:val="32"/>
          <w:szCs w:val="32"/>
        </w:rPr>
      </w:pPr>
      <w:r>
        <w:rPr>
          <w:rFonts w:hint="eastAsia" w:ascii="仿宋" w:hAnsi="仿宋" w:eastAsia="仿宋"/>
          <w:color w:val="000000"/>
          <w:kern w:val="0"/>
          <w:sz w:val="32"/>
          <w:szCs w:val="32"/>
        </w:rPr>
        <w:t xml:space="preserve"> </w:t>
      </w:r>
    </w:p>
    <w:p>
      <w:pPr>
        <w:spacing w:line="580" w:lineRule="exact"/>
        <w:rPr>
          <w:rFonts w:ascii="仿宋" w:hAnsi="仿宋" w:eastAsia="仿宋"/>
          <w:color w:val="000000"/>
          <w:kern w:val="0"/>
          <w:sz w:val="32"/>
          <w:szCs w:val="32"/>
        </w:rPr>
      </w:pPr>
      <w:r>
        <w:rPr>
          <w:rFonts w:hint="eastAsia" w:ascii="仿宋" w:hAnsi="仿宋" w:eastAsia="仿宋"/>
          <w:color w:val="000000"/>
          <w:kern w:val="0"/>
          <w:sz w:val="32"/>
          <w:szCs w:val="32"/>
        </w:rPr>
        <w:t xml:space="preserve"> </w:t>
      </w:r>
    </w:p>
    <w:tbl>
      <w:tblPr>
        <w:tblStyle w:val="14"/>
        <w:tblW w:w="7797"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4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7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distribute"/>
              <w:rPr>
                <w:rFonts w:ascii="宋体" w:hAnsi="宋体"/>
                <w:bCs/>
                <w:sz w:val="28"/>
                <w:szCs w:val="28"/>
              </w:rPr>
            </w:pPr>
            <w:r>
              <w:rPr>
                <w:rFonts w:hint="eastAsia" w:ascii="宋体" w:hAnsi="宋体"/>
                <w:sz w:val="28"/>
                <w:szCs w:val="28"/>
              </w:rPr>
              <w:t>学校名称</w:t>
            </w:r>
            <w:r>
              <w:rPr>
                <w:rFonts w:hint="eastAsia" w:ascii="宋体" w:hAnsi="宋体"/>
                <w:bCs/>
                <w:sz w:val="28"/>
                <w:szCs w:val="28"/>
              </w:rPr>
              <w:t>：</w:t>
            </w:r>
          </w:p>
        </w:tc>
        <w:tc>
          <w:tcPr>
            <w:tcW w:w="40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宋体" w:hAnsi="宋体"/>
                <w:bCs/>
                <w:sz w:val="28"/>
                <w:szCs w:val="28"/>
              </w:rPr>
            </w:pPr>
            <w:r>
              <w:rPr>
                <w:rFonts w:hint="eastAsia" w:ascii="宋体" w:hAnsi="宋体"/>
                <w:bCs/>
                <w:sz w:val="28"/>
                <w:szCs w:val="28"/>
              </w:rPr>
              <w:t>南宁学院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7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distribute"/>
              <w:rPr>
                <w:rFonts w:ascii="宋体" w:hAnsi="宋体"/>
                <w:sz w:val="28"/>
                <w:szCs w:val="28"/>
              </w:rPr>
            </w:pPr>
            <w:r>
              <w:rPr>
                <w:rFonts w:hint="eastAsia" w:ascii="宋体" w:hAnsi="宋体"/>
                <w:sz w:val="28"/>
                <w:szCs w:val="28"/>
              </w:rPr>
              <w:t>产业学院名称：</w:t>
            </w:r>
          </w:p>
        </w:tc>
        <w:tc>
          <w:tcPr>
            <w:tcW w:w="40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宋体" w:hAnsi="宋体"/>
                <w:sz w:val="28"/>
                <w:szCs w:val="28"/>
              </w:rPr>
            </w:pPr>
            <w:r>
              <w:rPr>
                <w:rFonts w:hint="eastAsia" w:ascii="宋体" w:hAnsi="宋体"/>
                <w:sz w:val="28"/>
                <w:szCs w:val="28"/>
              </w:rPr>
              <w:t>食品质量与安全现代产业学院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7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distribute"/>
              <w:rPr>
                <w:rFonts w:ascii="宋体" w:hAnsi="宋体"/>
                <w:sz w:val="28"/>
                <w:szCs w:val="28"/>
              </w:rPr>
            </w:pPr>
            <w:r>
              <w:rPr>
                <w:rFonts w:hint="eastAsia" w:ascii="宋体" w:hAnsi="宋体"/>
                <w:sz w:val="28"/>
                <w:szCs w:val="28"/>
              </w:rPr>
              <w:t>合作企业（单位）名称：</w:t>
            </w:r>
          </w:p>
        </w:tc>
        <w:tc>
          <w:tcPr>
            <w:tcW w:w="40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left"/>
              <w:rPr>
                <w:rFonts w:ascii="宋体" w:hAnsi="宋体"/>
                <w:sz w:val="28"/>
                <w:szCs w:val="28"/>
              </w:rPr>
            </w:pPr>
            <w:r>
              <w:rPr>
                <w:rFonts w:hint="eastAsia" w:ascii="宋体" w:hAnsi="宋体"/>
                <w:sz w:val="28"/>
                <w:szCs w:val="28"/>
              </w:rPr>
              <w:t>广西-东盟经济技术开发区、广西科学院、广西-东盟食品检验检测中心、南宁威耀集采集配供应链管理有限公司、广西食品工业协会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7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distribute"/>
              <w:rPr>
                <w:rFonts w:ascii="宋体" w:hAnsi="宋体"/>
                <w:sz w:val="28"/>
                <w:szCs w:val="28"/>
              </w:rPr>
            </w:pPr>
            <w:r>
              <w:rPr>
                <w:rFonts w:hint="eastAsia" w:ascii="宋体" w:hAnsi="宋体"/>
                <w:sz w:val="28"/>
                <w:szCs w:val="28"/>
              </w:rPr>
              <w:t>产业学院院长：</w:t>
            </w:r>
          </w:p>
        </w:tc>
        <w:tc>
          <w:tcPr>
            <w:tcW w:w="40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宋体" w:hAnsi="宋体"/>
                <w:sz w:val="28"/>
                <w:szCs w:val="28"/>
              </w:rPr>
            </w:pPr>
            <w:r>
              <w:rPr>
                <w:rFonts w:hint="eastAsia" w:ascii="宋体" w:hAnsi="宋体"/>
                <w:sz w:val="28"/>
                <w:szCs w:val="28"/>
              </w:rPr>
              <w:t>李栋学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7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distribute"/>
              <w:rPr>
                <w:rFonts w:ascii="宋体" w:hAnsi="宋体"/>
                <w:sz w:val="28"/>
                <w:szCs w:val="28"/>
              </w:rPr>
            </w:pPr>
            <w:r>
              <w:rPr>
                <w:rFonts w:hint="eastAsia" w:ascii="宋体" w:hAnsi="宋体"/>
                <w:sz w:val="28"/>
                <w:szCs w:val="28"/>
              </w:rPr>
              <w:t>联系电话：</w:t>
            </w:r>
          </w:p>
        </w:tc>
        <w:tc>
          <w:tcPr>
            <w:tcW w:w="40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宋体" w:hAnsi="宋体"/>
                <w:sz w:val="28"/>
                <w:szCs w:val="28"/>
              </w:rPr>
            </w:pPr>
            <w:r>
              <w:rPr>
                <w:rFonts w:ascii="宋体" w:hAnsi="宋体"/>
                <w:sz w:val="28"/>
                <w:szCs w:val="28"/>
              </w:rPr>
              <w:t>0771-5900927</w:t>
            </w:r>
          </w:p>
        </w:tc>
      </w:tr>
    </w:tbl>
    <w:p>
      <w:pPr>
        <w:spacing w:line="560" w:lineRule="exact"/>
        <w:jc w:val="center"/>
        <w:rPr>
          <w:rFonts w:ascii="楷体" w:hAnsi="楷体" w:eastAsia="楷体"/>
          <w:color w:val="000000"/>
          <w:sz w:val="32"/>
          <w:szCs w:val="32"/>
        </w:rPr>
      </w:pPr>
      <w:r>
        <w:rPr>
          <w:rFonts w:hint="eastAsia" w:ascii="楷体" w:hAnsi="楷体" w:eastAsia="楷体"/>
          <w:color w:val="000000"/>
          <w:sz w:val="32"/>
          <w:szCs w:val="32"/>
        </w:rPr>
        <w:t xml:space="preserve"> </w:t>
      </w:r>
    </w:p>
    <w:p>
      <w:pPr>
        <w:pStyle w:val="4"/>
      </w:pPr>
      <w:r>
        <w:br w:type="page"/>
      </w:r>
    </w:p>
    <w:p>
      <w:pPr>
        <w:widowControl/>
        <w:jc w:val="left"/>
        <w:rPr>
          <w:rFonts w:ascii="楷体" w:hAnsi="楷体" w:eastAsia="楷体"/>
          <w:sz w:val="32"/>
          <w:szCs w:val="32"/>
        </w:rPr>
      </w:pPr>
      <w:r>
        <w:rPr>
          <w:rFonts w:ascii="楷体" w:hAnsi="楷体" w:eastAsia="楷体"/>
          <w:sz w:val="32"/>
          <w:szCs w:val="32"/>
        </w:rPr>
        <w:br w:type="page"/>
      </w:r>
    </w:p>
    <w:p>
      <w:pPr>
        <w:pStyle w:val="4"/>
        <w:numPr>
          <w:ilvl w:val="0"/>
          <w:numId w:val="0"/>
        </w:numPr>
        <w:rPr>
          <w:lang w:val="zh-CN"/>
        </w:rPr>
      </w:pPr>
      <w:r>
        <w:rPr>
          <w:rFonts w:hint="eastAsia" w:ascii="黑体" w:hAnsi="黑体"/>
          <w:sz w:val="32"/>
          <w:szCs w:val="32"/>
        </w:rPr>
        <w:t>一、</w:t>
      </w:r>
      <w:r>
        <w:rPr>
          <w:rFonts w:ascii="黑体" w:hAnsi="黑体"/>
          <w:sz w:val="32"/>
          <w:szCs w:val="32"/>
        </w:rPr>
        <w:t>基本情况</w:t>
      </w:r>
    </w:p>
    <w:tbl>
      <w:tblPr>
        <w:tblStyle w:val="14"/>
        <w:tblW w:w="9054" w:type="dxa"/>
        <w:jc w:val="center"/>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5"/>
        <w:gridCol w:w="797"/>
        <w:gridCol w:w="874"/>
        <w:gridCol w:w="425"/>
        <w:gridCol w:w="741"/>
        <w:gridCol w:w="677"/>
        <w:gridCol w:w="567"/>
        <w:gridCol w:w="1061"/>
        <w:gridCol w:w="281"/>
        <w:gridCol w:w="569"/>
        <w:gridCol w:w="574"/>
        <w:gridCol w:w="66"/>
        <w:gridCol w:w="235"/>
        <w:gridCol w:w="1343"/>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641" w:type="dxa"/>
            <w:gridSpan w:val="3"/>
            <w:tcBorders>
              <w:top w:val="single" w:color="auto" w:sz="4" w:space="0"/>
            </w:tcBorders>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学院全称</w:t>
            </w:r>
          </w:p>
        </w:tc>
        <w:tc>
          <w:tcPr>
            <w:tcW w:w="7413" w:type="dxa"/>
            <w:gridSpan w:val="12"/>
            <w:tcBorders>
              <w:top w:val="single" w:color="auto" w:sz="4" w:space="0"/>
            </w:tcBorders>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食品质量与安全现代产业学院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1641" w:type="dxa"/>
            <w:gridSpan w:val="3"/>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相关产业</w:t>
            </w:r>
          </w:p>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领域</w:t>
            </w:r>
          </w:p>
        </w:tc>
        <w:tc>
          <w:tcPr>
            <w:tcW w:w="7413" w:type="dxa"/>
            <w:gridSpan w:val="12"/>
            <w:vAlign w:val="center"/>
          </w:tcPr>
          <w:p>
            <w:pPr>
              <w:widowControl/>
              <w:spacing w:line="300" w:lineRule="exact"/>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 xml:space="preserve">绿色化工新材料  </w:t>
            </w:r>
            <w:r>
              <w:rPr>
                <w:rFonts w:hint="eastAsia" w:ascii="仿宋" w:hAnsi="仿宋" w:eastAsia="仿宋" w:cs="仿宋"/>
                <w:kern w:val="0"/>
                <w:sz w:val="24"/>
                <w:szCs w:val="24"/>
              </w:rPr>
              <w:t>□</w:t>
            </w:r>
            <w:r>
              <w:rPr>
                <w:rFonts w:hint="eastAsia" w:ascii="仿宋" w:hAnsi="仿宋" w:eastAsia="仿宋" w:cs="仿宋"/>
                <w:sz w:val="24"/>
                <w:szCs w:val="24"/>
              </w:rPr>
              <w:t xml:space="preserve">电子信息  </w:t>
            </w:r>
            <w:r>
              <w:rPr>
                <w:rFonts w:hint="eastAsia" w:ascii="仿宋" w:hAnsi="仿宋" w:eastAsia="仿宋" w:cs="仿宋"/>
                <w:kern w:val="0"/>
                <w:sz w:val="24"/>
                <w:szCs w:val="24"/>
              </w:rPr>
              <w:t>□</w:t>
            </w:r>
            <w:r>
              <w:rPr>
                <w:rFonts w:hint="eastAsia" w:ascii="仿宋" w:hAnsi="仿宋" w:eastAsia="仿宋" w:cs="仿宋"/>
                <w:sz w:val="24"/>
                <w:szCs w:val="24"/>
              </w:rPr>
              <w:t xml:space="preserve">机械装备制造  </w:t>
            </w:r>
            <w:r>
              <w:rPr>
                <w:rFonts w:hint="eastAsia" w:ascii="仿宋" w:hAnsi="仿宋" w:eastAsia="仿宋" w:cs="仿宋"/>
                <w:kern w:val="0"/>
                <w:sz w:val="24"/>
                <w:szCs w:val="24"/>
              </w:rPr>
              <w:t>□</w:t>
            </w:r>
            <w:r>
              <w:rPr>
                <w:rFonts w:hint="eastAsia" w:ascii="仿宋" w:hAnsi="仿宋" w:eastAsia="仿宋" w:cs="仿宋"/>
                <w:sz w:val="24"/>
                <w:szCs w:val="24"/>
              </w:rPr>
              <w:t>汽车</w:t>
            </w:r>
          </w:p>
          <w:p>
            <w:pPr>
              <w:widowControl/>
              <w:spacing w:line="300" w:lineRule="exact"/>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 xml:space="preserve">金属新材料  </w:t>
            </w:r>
            <w:r>
              <w:rPr>
                <w:rFonts w:hint="eastAsia" w:ascii="仿宋" w:hAnsi="仿宋" w:eastAsia="仿宋" w:cs="仿宋"/>
                <w:kern w:val="0"/>
                <w:sz w:val="24"/>
                <w:szCs w:val="24"/>
              </w:rPr>
              <w:t>□</w:t>
            </w:r>
            <w:r>
              <w:rPr>
                <w:rFonts w:hint="eastAsia" w:ascii="仿宋" w:hAnsi="仿宋" w:eastAsia="仿宋" w:cs="仿宋"/>
                <w:sz w:val="24"/>
                <w:szCs w:val="24"/>
              </w:rPr>
              <w:t xml:space="preserve">精品碳酸钙  </w:t>
            </w:r>
            <w:r>
              <w:rPr>
                <w:rFonts w:hint="eastAsia" w:ascii="仿宋" w:hAnsi="仿宋" w:eastAsia="仿宋" w:cs="仿宋"/>
                <w:kern w:val="0"/>
                <w:sz w:val="24"/>
                <w:szCs w:val="24"/>
              </w:rPr>
              <w:t>□</w:t>
            </w:r>
            <w:r>
              <w:rPr>
                <w:rFonts w:hint="eastAsia" w:ascii="仿宋" w:hAnsi="仿宋" w:eastAsia="仿宋" w:cs="仿宋"/>
                <w:sz w:val="24"/>
                <w:szCs w:val="24"/>
              </w:rPr>
              <w:t xml:space="preserve">高端家具家居材料  </w:t>
            </w:r>
            <w:r>
              <w:rPr>
                <w:rFonts w:hint="eastAsia" w:ascii="仿宋" w:hAnsi="仿宋" w:eastAsia="仿宋" w:cs="仿宋"/>
                <w:kern w:val="0"/>
                <w:sz w:val="24"/>
                <w:szCs w:val="24"/>
              </w:rPr>
              <w:t>□</w:t>
            </w:r>
            <w:r>
              <w:rPr>
                <w:rFonts w:hint="eastAsia" w:ascii="仿宋" w:hAnsi="仿宋" w:eastAsia="仿宋" w:cs="仿宋"/>
                <w:sz w:val="24"/>
                <w:szCs w:val="24"/>
              </w:rPr>
              <w:t>生物医药</w:t>
            </w:r>
          </w:p>
          <w:p>
            <w:pPr>
              <w:widowControl/>
              <w:spacing w:line="300" w:lineRule="exact"/>
              <w:jc w:val="left"/>
              <w:rPr>
                <w:rFonts w:ascii="仿宋" w:hAnsi="仿宋" w:eastAsia="仿宋" w:cs="仿宋"/>
                <w:sz w:val="24"/>
                <w:szCs w:val="24"/>
              </w:rPr>
            </w:pPr>
            <w:r>
              <w:rPr>
                <w:rFonts w:hint="eastAsia" w:ascii="仿宋" w:hAnsi="仿宋" w:eastAsia="仿宋" w:cs="仿宋"/>
                <w:kern w:val="0"/>
                <w:sz w:val="24"/>
                <w:szCs w:val="24"/>
              </w:rPr>
              <w:sym w:font="Wingdings 2" w:char="00A3"/>
            </w:r>
            <w:r>
              <w:rPr>
                <w:rFonts w:hint="eastAsia" w:ascii="仿宋" w:hAnsi="仿宋" w:eastAsia="仿宋" w:cs="仿宋"/>
                <w:sz w:val="24"/>
                <w:szCs w:val="24"/>
              </w:rPr>
              <w:t xml:space="preserve">轻工纺织  </w:t>
            </w:r>
            <w:r>
              <w:rPr>
                <w:rFonts w:hint="eastAsia" w:ascii="仿宋" w:hAnsi="仿宋" w:eastAsia="仿宋" w:cs="仿宋"/>
                <w:kern w:val="0"/>
                <w:sz w:val="24"/>
                <w:szCs w:val="24"/>
              </w:rPr>
              <w:sym w:font="Wingdings 2" w:char="00A3"/>
            </w:r>
            <w:r>
              <w:rPr>
                <w:rFonts w:hint="eastAsia" w:ascii="仿宋" w:hAnsi="仿宋" w:eastAsia="仿宋" w:cs="仿宋"/>
                <w:sz w:val="24"/>
                <w:szCs w:val="24"/>
              </w:rPr>
              <w:t xml:space="preserve">制糖  </w:t>
            </w:r>
            <w:r>
              <w:rPr>
                <w:rFonts w:hint="eastAsia" w:ascii="仿宋" w:hAnsi="仿宋" w:eastAsia="仿宋" w:cs="仿宋"/>
                <w:kern w:val="0"/>
                <w:sz w:val="24"/>
                <w:szCs w:val="24"/>
              </w:rPr>
              <w:sym w:font="Wingdings 2" w:char="0052"/>
            </w:r>
            <w:r>
              <w:rPr>
                <w:rFonts w:hint="eastAsia" w:ascii="仿宋" w:hAnsi="仿宋" w:eastAsia="仿宋" w:cs="仿宋"/>
                <w:sz w:val="24"/>
                <w:szCs w:val="24"/>
              </w:rPr>
              <w:t xml:space="preserve">绿色食品  </w:t>
            </w:r>
            <w:r>
              <w:rPr>
                <w:rFonts w:hint="eastAsia" w:ascii="仿宋" w:hAnsi="仿宋" w:eastAsia="仿宋" w:cs="仿宋"/>
                <w:kern w:val="0"/>
                <w:sz w:val="24"/>
                <w:szCs w:val="24"/>
              </w:rPr>
              <w:t>□</w:t>
            </w:r>
            <w:r>
              <w:rPr>
                <w:rFonts w:hint="eastAsia" w:ascii="仿宋" w:hAnsi="仿宋" w:eastAsia="仿宋" w:cs="仿宋"/>
                <w:sz w:val="24"/>
                <w:szCs w:val="24"/>
              </w:rPr>
              <w:t xml:space="preserve">建材  </w:t>
            </w:r>
            <w:r>
              <w:rPr>
                <w:rFonts w:hint="eastAsia" w:ascii="仿宋" w:hAnsi="仿宋" w:eastAsia="仿宋" w:cs="仿宋"/>
                <w:kern w:val="0"/>
                <w:sz w:val="24"/>
                <w:szCs w:val="24"/>
              </w:rPr>
              <w:t>□</w:t>
            </w:r>
            <w:r>
              <w:rPr>
                <w:rFonts w:hint="eastAsia" w:ascii="仿宋" w:hAnsi="仿宋" w:eastAsia="仿宋" w:cs="仿宋"/>
                <w:sz w:val="24"/>
                <w:szCs w:val="24"/>
              </w:rPr>
              <w:t>造纸和木材加工</w:t>
            </w:r>
          </w:p>
          <w:p>
            <w:pPr>
              <w:widowControl/>
              <w:spacing w:line="300" w:lineRule="exact"/>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 xml:space="preserve">茧丝绸  </w:t>
            </w:r>
            <w:r>
              <w:rPr>
                <w:rFonts w:hint="eastAsia" w:ascii="仿宋" w:hAnsi="仿宋" w:eastAsia="仿宋" w:cs="仿宋"/>
                <w:kern w:val="0"/>
                <w:sz w:val="24"/>
                <w:szCs w:val="24"/>
              </w:rPr>
              <w:t>□</w:t>
            </w:r>
            <w:r>
              <w:rPr>
                <w:rFonts w:hint="eastAsia" w:ascii="仿宋" w:hAnsi="仿宋" w:eastAsia="仿宋" w:cs="仿宋"/>
                <w:sz w:val="24"/>
                <w:szCs w:val="24"/>
              </w:rPr>
              <w:t xml:space="preserve">电力  </w:t>
            </w:r>
            <w:r>
              <w:rPr>
                <w:rFonts w:hint="eastAsia" w:ascii="仿宋" w:hAnsi="仿宋" w:eastAsia="仿宋" w:cs="仿宋"/>
                <w:kern w:val="0"/>
                <w:sz w:val="24"/>
                <w:szCs w:val="24"/>
              </w:rPr>
              <w:t>□</w:t>
            </w:r>
            <w:r>
              <w:rPr>
                <w:rFonts w:hint="eastAsia" w:ascii="仿宋" w:hAnsi="仿宋" w:eastAsia="仿宋" w:cs="仿宋"/>
                <w:sz w:val="24"/>
                <w:szCs w:val="24"/>
              </w:rPr>
              <w:t xml:space="preserve">新一代信息技术 </w:t>
            </w:r>
            <w:r>
              <w:rPr>
                <w:rFonts w:hint="eastAsia" w:ascii="仿宋" w:hAnsi="仿宋" w:eastAsia="仿宋" w:cs="仿宋"/>
                <w:kern w:val="0"/>
                <w:sz w:val="24"/>
                <w:szCs w:val="24"/>
              </w:rPr>
              <w:t>□</w:t>
            </w:r>
            <w:r>
              <w:rPr>
                <w:rFonts w:hint="eastAsia" w:ascii="仿宋" w:hAnsi="仿宋" w:eastAsia="仿宋" w:cs="仿宋"/>
                <w:sz w:val="24"/>
                <w:szCs w:val="24"/>
              </w:rPr>
              <w:t xml:space="preserve">新能源汽车 </w:t>
            </w:r>
            <w:r>
              <w:rPr>
                <w:rFonts w:hint="eastAsia" w:ascii="仿宋" w:hAnsi="仿宋" w:eastAsia="仿宋" w:cs="仿宋"/>
                <w:kern w:val="0"/>
                <w:sz w:val="24"/>
                <w:szCs w:val="24"/>
              </w:rPr>
              <w:t>□</w:t>
            </w:r>
            <w:r>
              <w:rPr>
                <w:rFonts w:hint="eastAsia" w:ascii="仿宋" w:hAnsi="仿宋" w:eastAsia="仿宋" w:cs="仿宋"/>
                <w:sz w:val="24"/>
                <w:szCs w:val="24"/>
              </w:rPr>
              <w:t>生物工程</w:t>
            </w:r>
          </w:p>
          <w:p>
            <w:pPr>
              <w:widowControl/>
              <w:spacing w:line="300" w:lineRule="exact"/>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 xml:space="preserve">高端装备制造    </w:t>
            </w:r>
            <w:r>
              <w:rPr>
                <w:rFonts w:hint="eastAsia" w:ascii="仿宋" w:hAnsi="仿宋" w:eastAsia="仿宋" w:cs="仿宋"/>
                <w:kern w:val="0"/>
                <w:sz w:val="24"/>
                <w:szCs w:val="24"/>
              </w:rPr>
              <w:sym w:font="Wingdings 2" w:char="0052"/>
            </w:r>
            <w:r>
              <w:rPr>
                <w:rFonts w:hint="eastAsia" w:ascii="仿宋" w:hAnsi="仿宋" w:eastAsia="仿宋" w:cs="仿宋"/>
                <w:sz w:val="24"/>
                <w:szCs w:val="24"/>
              </w:rPr>
              <w:t xml:space="preserve">大健康  </w:t>
            </w:r>
            <w:r>
              <w:rPr>
                <w:rFonts w:hint="eastAsia" w:ascii="仿宋" w:hAnsi="仿宋" w:eastAsia="仿宋" w:cs="仿宋"/>
                <w:kern w:val="0"/>
                <w:sz w:val="24"/>
                <w:szCs w:val="24"/>
              </w:rPr>
              <w:sym w:font="Wingdings 2" w:char="00A3"/>
            </w:r>
            <w:r>
              <w:rPr>
                <w:rFonts w:hint="eastAsia" w:ascii="仿宋" w:hAnsi="仿宋" w:eastAsia="仿宋" w:cs="仿宋"/>
                <w:sz w:val="24"/>
                <w:szCs w:val="24"/>
              </w:rPr>
              <w:t xml:space="preserve">先进新材料  </w:t>
            </w:r>
            <w:r>
              <w:rPr>
                <w:rFonts w:hint="eastAsia" w:ascii="仿宋" w:hAnsi="仿宋" w:eastAsia="仿宋" w:cs="仿宋"/>
                <w:kern w:val="0"/>
                <w:sz w:val="24"/>
                <w:szCs w:val="24"/>
              </w:rPr>
              <w:t>□</w:t>
            </w:r>
            <w:r>
              <w:rPr>
                <w:rFonts w:hint="eastAsia" w:ascii="仿宋" w:hAnsi="仿宋" w:eastAsia="仿宋" w:cs="仿宋"/>
                <w:sz w:val="24"/>
                <w:szCs w:val="24"/>
              </w:rPr>
              <w:t xml:space="preserve">生态环保 </w:t>
            </w:r>
          </w:p>
          <w:p>
            <w:pPr>
              <w:snapToGrid w:val="0"/>
              <w:spacing w:line="300" w:lineRule="exact"/>
              <w:jc w:val="left"/>
              <w:rPr>
                <w:rFonts w:ascii="仿宋" w:hAnsi="仿宋" w:eastAsia="仿宋" w:cs="仿宋"/>
                <w:bCs/>
                <w:kern w:val="0"/>
                <w:sz w:val="24"/>
                <w:szCs w:val="24"/>
              </w:rPr>
            </w:pPr>
            <w:r>
              <w:rPr>
                <w:rFonts w:hint="eastAsia" w:ascii="仿宋" w:hAnsi="仿宋" w:eastAsia="仿宋" w:cs="仿宋"/>
                <w:kern w:val="0"/>
                <w:sz w:val="24"/>
                <w:szCs w:val="24"/>
              </w:rPr>
              <w:t>□</w:t>
            </w:r>
            <w:r>
              <w:rPr>
                <w:rFonts w:hint="eastAsia" w:ascii="仿宋" w:hAnsi="仿宋" w:eastAsia="仿宋" w:cs="仿宋"/>
                <w:sz w:val="24"/>
                <w:szCs w:val="24"/>
              </w:rPr>
              <w:t xml:space="preserve">海洋资源开发利用  </w:t>
            </w:r>
            <w:r>
              <w:rPr>
                <w:rFonts w:hint="eastAsia" w:ascii="仿宋" w:hAnsi="仿宋" w:eastAsia="仿宋" w:cs="仿宋"/>
                <w:kern w:val="0"/>
                <w:sz w:val="24"/>
                <w:szCs w:val="24"/>
              </w:rPr>
              <w:t>□</w:t>
            </w:r>
            <w:r>
              <w:rPr>
                <w:rFonts w:hint="eastAsia" w:ascii="仿宋" w:hAnsi="仿宋" w:eastAsia="仿宋" w:cs="仿宋"/>
                <w:sz w:val="24"/>
                <w:szCs w:val="24"/>
              </w:rPr>
              <w:t xml:space="preserve">文化旅游  </w:t>
            </w:r>
            <w:r>
              <w:rPr>
                <w:rFonts w:hint="eastAsia" w:ascii="仿宋" w:hAnsi="仿宋" w:eastAsia="仿宋" w:cs="仿宋"/>
                <w:kern w:val="0"/>
                <w:sz w:val="24"/>
                <w:szCs w:val="24"/>
              </w:rPr>
              <w:t>□</w:t>
            </w:r>
            <w:r>
              <w:rPr>
                <w:rFonts w:hint="eastAsia" w:ascii="仿宋" w:hAnsi="仿宋" w:eastAsia="仿宋" w:cs="仿宋"/>
                <w:sz w:val="24"/>
                <w:szCs w:val="24"/>
              </w:rPr>
              <w:t>其他</w:t>
            </w:r>
            <w:r>
              <w:rPr>
                <w:rFonts w:hint="eastAsia" w:ascii="仿宋" w:hAnsi="仿宋" w:eastAsia="仿宋" w:cs="仿宋"/>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41" w:type="dxa"/>
            <w:gridSpan w:val="3"/>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挂牌成立</w:t>
            </w:r>
          </w:p>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时间</w:t>
            </w:r>
          </w:p>
        </w:tc>
        <w:tc>
          <w:tcPr>
            <w:tcW w:w="3284" w:type="dxa"/>
            <w:gridSpan w:val="5"/>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2017年5月8日</w:t>
            </w:r>
          </w:p>
        </w:tc>
        <w:tc>
          <w:tcPr>
            <w:tcW w:w="2485" w:type="dxa"/>
            <w:gridSpan w:val="4"/>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独立设置</w:t>
            </w:r>
          </w:p>
        </w:tc>
        <w:tc>
          <w:tcPr>
            <w:tcW w:w="1644" w:type="dxa"/>
            <w:gridSpan w:val="3"/>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sym w:font="Wingdings 2" w:char="0052"/>
            </w:r>
            <w:r>
              <w:rPr>
                <w:rFonts w:hint="eastAsia" w:ascii="仿宋" w:hAnsi="仿宋" w:eastAsia="仿宋" w:cs="仿宋"/>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641" w:type="dxa"/>
            <w:gridSpan w:val="3"/>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办学场所</w:t>
            </w:r>
          </w:p>
        </w:tc>
        <w:tc>
          <w:tcPr>
            <w:tcW w:w="7413" w:type="dxa"/>
            <w:gridSpan w:val="1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sym w:font="Wingdings 2" w:char="0052"/>
            </w:r>
            <w:r>
              <w:rPr>
                <w:rFonts w:hint="eastAsia" w:ascii="仿宋" w:hAnsi="仿宋" w:eastAsia="仿宋" w:cs="仿宋"/>
                <w:kern w:val="0"/>
                <w:sz w:val="24"/>
                <w:szCs w:val="24"/>
              </w:rPr>
              <w:t>学校内部   □企业内部   □产业园区   □其他独立办学场所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1" w:type="dxa"/>
            <w:gridSpan w:val="3"/>
            <w:vMerge w:val="restart"/>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共建专业点基本信息</w:t>
            </w:r>
          </w:p>
        </w:tc>
        <w:tc>
          <w:tcPr>
            <w:tcW w:w="3284" w:type="dxa"/>
            <w:gridSpan w:val="5"/>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共建专业点名称</w:t>
            </w:r>
          </w:p>
        </w:tc>
        <w:tc>
          <w:tcPr>
            <w:tcW w:w="1342"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开设时间</w:t>
            </w:r>
          </w:p>
        </w:tc>
        <w:tc>
          <w:tcPr>
            <w:tcW w:w="1143"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在读学生总数</w:t>
            </w:r>
          </w:p>
        </w:tc>
        <w:tc>
          <w:tcPr>
            <w:tcW w:w="1644" w:type="dxa"/>
            <w:gridSpan w:val="3"/>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2410" w:type="dxa"/>
            <w:gridSpan w:val="4"/>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食品质量与安全</w:t>
            </w:r>
          </w:p>
        </w:tc>
        <w:tc>
          <w:tcPr>
            <w:tcW w:w="1342" w:type="dxa"/>
            <w:gridSpan w:val="2"/>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2017</w:t>
            </w:r>
          </w:p>
        </w:tc>
        <w:tc>
          <w:tcPr>
            <w:tcW w:w="1143" w:type="dxa"/>
            <w:gridSpan w:val="2"/>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38</w:t>
            </w:r>
            <w:r>
              <w:rPr>
                <w:rFonts w:ascii="仿宋" w:hAnsi="仿宋" w:eastAsia="仿宋" w:cs="仿宋"/>
                <w:kern w:val="0"/>
                <w:sz w:val="24"/>
                <w:szCs w:val="24"/>
              </w:rPr>
              <w:t>0</w:t>
            </w:r>
          </w:p>
        </w:tc>
        <w:tc>
          <w:tcPr>
            <w:tcW w:w="1644" w:type="dxa"/>
            <w:gridSpan w:val="3"/>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2410" w:type="dxa"/>
            <w:gridSpan w:val="4"/>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质量管理工程</w:t>
            </w:r>
          </w:p>
        </w:tc>
        <w:tc>
          <w:tcPr>
            <w:tcW w:w="1342" w:type="dxa"/>
            <w:gridSpan w:val="2"/>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2015</w:t>
            </w:r>
          </w:p>
        </w:tc>
        <w:tc>
          <w:tcPr>
            <w:tcW w:w="1143" w:type="dxa"/>
            <w:gridSpan w:val="2"/>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25</w:t>
            </w:r>
            <w:r>
              <w:rPr>
                <w:rFonts w:ascii="仿宋" w:hAnsi="仿宋" w:eastAsia="仿宋" w:cs="仿宋"/>
                <w:kern w:val="0"/>
                <w:sz w:val="24"/>
                <w:szCs w:val="24"/>
              </w:rPr>
              <w:t>8</w:t>
            </w:r>
          </w:p>
        </w:tc>
        <w:tc>
          <w:tcPr>
            <w:tcW w:w="1644" w:type="dxa"/>
            <w:gridSpan w:val="3"/>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2410" w:type="dxa"/>
            <w:gridSpan w:val="4"/>
            <w:vAlign w:val="center"/>
          </w:tcPr>
          <w:p>
            <w:pPr>
              <w:jc w:val="center"/>
              <w:rPr>
                <w:rFonts w:ascii="仿宋" w:hAnsi="仿宋" w:eastAsia="仿宋" w:cs="仿宋"/>
                <w:kern w:val="0"/>
                <w:sz w:val="24"/>
                <w:szCs w:val="24"/>
              </w:rPr>
            </w:pPr>
            <w:r>
              <w:rPr>
                <w:rFonts w:ascii="仿宋" w:hAnsi="仿宋" w:eastAsia="仿宋" w:cs="仿宋"/>
                <w:kern w:val="0"/>
                <w:sz w:val="24"/>
                <w:szCs w:val="24"/>
              </w:rPr>
              <w:t>物流</w:t>
            </w:r>
            <w:r>
              <w:rPr>
                <w:rFonts w:hint="eastAsia" w:ascii="仿宋" w:hAnsi="仿宋" w:eastAsia="仿宋" w:cs="仿宋"/>
                <w:kern w:val="0"/>
                <w:sz w:val="24"/>
                <w:szCs w:val="24"/>
              </w:rPr>
              <w:t>工程</w:t>
            </w:r>
          </w:p>
        </w:tc>
        <w:tc>
          <w:tcPr>
            <w:tcW w:w="1342" w:type="dxa"/>
            <w:gridSpan w:val="2"/>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w:t>
            </w:r>
            <w:r>
              <w:rPr>
                <w:rFonts w:ascii="仿宋" w:hAnsi="仿宋" w:eastAsia="仿宋" w:cs="仿宋"/>
                <w:kern w:val="0"/>
                <w:sz w:val="24"/>
                <w:szCs w:val="24"/>
              </w:rPr>
              <w:t>016</w:t>
            </w:r>
          </w:p>
        </w:tc>
        <w:tc>
          <w:tcPr>
            <w:tcW w:w="1143" w:type="dxa"/>
            <w:gridSpan w:val="2"/>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435</w:t>
            </w:r>
          </w:p>
        </w:tc>
        <w:tc>
          <w:tcPr>
            <w:tcW w:w="1644" w:type="dxa"/>
            <w:gridSpan w:val="3"/>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2410" w:type="dxa"/>
            <w:gridSpan w:val="4"/>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工商管理</w:t>
            </w:r>
          </w:p>
        </w:tc>
        <w:tc>
          <w:tcPr>
            <w:tcW w:w="1342" w:type="dxa"/>
            <w:gridSpan w:val="2"/>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2013</w:t>
            </w:r>
          </w:p>
        </w:tc>
        <w:tc>
          <w:tcPr>
            <w:tcW w:w="1143" w:type="dxa"/>
            <w:gridSpan w:val="2"/>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750</w:t>
            </w:r>
          </w:p>
        </w:tc>
        <w:tc>
          <w:tcPr>
            <w:tcW w:w="1644" w:type="dxa"/>
            <w:gridSpan w:val="3"/>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2410" w:type="dxa"/>
            <w:gridSpan w:val="4"/>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视觉传达设计</w:t>
            </w:r>
          </w:p>
        </w:tc>
        <w:tc>
          <w:tcPr>
            <w:tcW w:w="1342" w:type="dxa"/>
            <w:gridSpan w:val="2"/>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2018</w:t>
            </w:r>
          </w:p>
        </w:tc>
        <w:tc>
          <w:tcPr>
            <w:tcW w:w="1143" w:type="dxa"/>
            <w:gridSpan w:val="2"/>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492</w:t>
            </w:r>
          </w:p>
        </w:tc>
        <w:tc>
          <w:tcPr>
            <w:tcW w:w="1644" w:type="dxa"/>
            <w:gridSpan w:val="3"/>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2410" w:type="dxa"/>
            <w:gridSpan w:val="4"/>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机械设计制造及其自动化</w:t>
            </w:r>
          </w:p>
        </w:tc>
        <w:tc>
          <w:tcPr>
            <w:tcW w:w="1342" w:type="dxa"/>
            <w:gridSpan w:val="2"/>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2017</w:t>
            </w:r>
          </w:p>
        </w:tc>
        <w:tc>
          <w:tcPr>
            <w:tcW w:w="1143" w:type="dxa"/>
            <w:gridSpan w:val="2"/>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672</w:t>
            </w:r>
          </w:p>
        </w:tc>
        <w:tc>
          <w:tcPr>
            <w:tcW w:w="1644" w:type="dxa"/>
            <w:gridSpan w:val="3"/>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w:t>
            </w:r>
          </w:p>
        </w:tc>
        <w:tc>
          <w:tcPr>
            <w:tcW w:w="2410" w:type="dxa"/>
            <w:gridSpan w:val="4"/>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市场营销</w:t>
            </w:r>
          </w:p>
        </w:tc>
        <w:tc>
          <w:tcPr>
            <w:tcW w:w="1342" w:type="dxa"/>
            <w:gridSpan w:val="2"/>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2014</w:t>
            </w:r>
          </w:p>
        </w:tc>
        <w:tc>
          <w:tcPr>
            <w:tcW w:w="1143" w:type="dxa"/>
            <w:gridSpan w:val="2"/>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428</w:t>
            </w:r>
          </w:p>
        </w:tc>
        <w:tc>
          <w:tcPr>
            <w:tcW w:w="1644" w:type="dxa"/>
            <w:gridSpan w:val="3"/>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41" w:type="dxa"/>
            <w:gridSpan w:val="3"/>
            <w:vMerge w:val="restart"/>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共建学科</w:t>
            </w:r>
          </w:p>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基本信息</w:t>
            </w:r>
          </w:p>
        </w:tc>
        <w:tc>
          <w:tcPr>
            <w:tcW w:w="4626" w:type="dxa"/>
            <w:gridSpan w:val="7"/>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共建学科名称（一级学科）</w:t>
            </w:r>
          </w:p>
        </w:tc>
        <w:tc>
          <w:tcPr>
            <w:tcW w:w="2787" w:type="dxa"/>
            <w:gridSpan w:val="5"/>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是否是自治区级及以上一流学科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3752" w:type="dxa"/>
            <w:gridSpan w:val="6"/>
            <w:vAlign w:val="center"/>
          </w:tcPr>
          <w:p>
            <w:pPr>
              <w:spacing w:line="300" w:lineRule="exact"/>
              <w:jc w:val="center"/>
              <w:rPr>
                <w:rFonts w:ascii="仿宋" w:hAnsi="仿宋" w:eastAsia="仿宋" w:cs="仿宋"/>
                <w:kern w:val="0"/>
                <w:sz w:val="24"/>
                <w:szCs w:val="24"/>
              </w:rPr>
            </w:pPr>
            <w:r>
              <w:rPr>
                <w:rFonts w:ascii="仿宋" w:hAnsi="仿宋" w:eastAsia="仿宋" w:cs="仿宋"/>
                <w:kern w:val="0"/>
                <w:sz w:val="24"/>
                <w:szCs w:val="24"/>
              </w:rPr>
              <w:t>食品科学与工程</w:t>
            </w:r>
          </w:p>
        </w:tc>
        <w:tc>
          <w:tcPr>
            <w:tcW w:w="2787" w:type="dxa"/>
            <w:gridSpan w:val="5"/>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kern w:val="0"/>
                <w:sz w:val="24"/>
                <w:szCs w:val="24"/>
              </w:rPr>
            </w:pPr>
          </w:p>
        </w:tc>
        <w:tc>
          <w:tcPr>
            <w:tcW w:w="3752" w:type="dxa"/>
            <w:gridSpan w:val="6"/>
            <w:vAlign w:val="center"/>
          </w:tcPr>
          <w:p>
            <w:pPr>
              <w:spacing w:line="300" w:lineRule="exact"/>
              <w:jc w:val="center"/>
              <w:rPr>
                <w:rFonts w:ascii="仿宋" w:hAnsi="仿宋" w:eastAsia="仿宋" w:cs="仿宋"/>
                <w:kern w:val="0"/>
                <w:sz w:val="24"/>
                <w:szCs w:val="24"/>
              </w:rPr>
            </w:pPr>
          </w:p>
        </w:tc>
        <w:tc>
          <w:tcPr>
            <w:tcW w:w="2787" w:type="dxa"/>
            <w:gridSpan w:val="5"/>
            <w:vAlign w:val="center"/>
          </w:tcPr>
          <w:p>
            <w:pPr>
              <w:spacing w:line="30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1" w:type="dxa"/>
            <w:gridSpan w:val="3"/>
            <w:vMerge w:val="restart"/>
            <w:vAlign w:val="center"/>
          </w:tcPr>
          <w:p>
            <w:pPr>
              <w:spacing w:line="300" w:lineRule="exact"/>
              <w:jc w:val="center"/>
              <w:rPr>
                <w:rFonts w:ascii="仿宋" w:hAnsi="仿宋" w:eastAsia="仿宋" w:cs="仿宋"/>
                <w:kern w:val="0"/>
                <w:sz w:val="24"/>
                <w:szCs w:val="24"/>
              </w:rPr>
            </w:pPr>
          </w:p>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合作共建企业（单位）基本信息</w:t>
            </w:r>
          </w:p>
          <w:p>
            <w:pPr>
              <w:pStyle w:val="4"/>
              <w:numPr>
                <w:ilvl w:val="0"/>
                <w:numId w:val="0"/>
              </w:numPr>
              <w:ind w:left="1008"/>
            </w:pPr>
          </w:p>
        </w:tc>
        <w:tc>
          <w:tcPr>
            <w:tcW w:w="5835" w:type="dxa"/>
            <w:gridSpan w:val="10"/>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合作企业（单位）名称</w:t>
            </w:r>
          </w:p>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（按合作紧密程度从前到后排列）</w:t>
            </w:r>
          </w:p>
        </w:tc>
        <w:tc>
          <w:tcPr>
            <w:tcW w:w="1578"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产业领域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4961" w:type="dxa"/>
            <w:gridSpan w:val="9"/>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广西-东盟经济技术开发区及辖区企业</w:t>
            </w:r>
          </w:p>
        </w:tc>
        <w:tc>
          <w:tcPr>
            <w:tcW w:w="1578"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食品加工、流通、销售、产品质量管理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4961" w:type="dxa"/>
            <w:gridSpan w:val="9"/>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广西科学院</w:t>
            </w:r>
          </w:p>
        </w:tc>
        <w:tc>
          <w:tcPr>
            <w:tcW w:w="1578"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食品加工技术研究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4961" w:type="dxa"/>
            <w:gridSpan w:val="9"/>
            <w:vAlign w:val="center"/>
          </w:tcPr>
          <w:p>
            <w:pPr>
              <w:spacing w:line="300" w:lineRule="exact"/>
              <w:jc w:val="center"/>
              <w:rPr>
                <w:rFonts w:ascii="仿宋" w:hAnsi="仿宋" w:eastAsia="仿宋" w:cs="仿宋"/>
                <w:color w:val="FF0000"/>
                <w:kern w:val="0"/>
                <w:sz w:val="24"/>
                <w:szCs w:val="24"/>
              </w:rPr>
            </w:pPr>
            <w:r>
              <w:rPr>
                <w:rFonts w:hint="eastAsia" w:ascii="仿宋" w:hAnsi="仿宋" w:eastAsia="仿宋" w:cs="仿宋"/>
                <w:kern w:val="0"/>
                <w:sz w:val="24"/>
                <w:szCs w:val="24"/>
              </w:rPr>
              <w:t>广西-东盟食品检验检测中心</w:t>
            </w:r>
          </w:p>
        </w:tc>
        <w:tc>
          <w:tcPr>
            <w:tcW w:w="1578"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食品监督管理、标准化、</w:t>
            </w:r>
            <w:r>
              <w:rPr>
                <w:rFonts w:hint="eastAsia" w:ascii="仿宋" w:hAnsi="仿宋" w:eastAsia="仿宋" w:cs="仿宋"/>
                <w:sz w:val="24"/>
                <w:szCs w:val="24"/>
              </w:rPr>
              <w:t>认证认可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4961" w:type="dxa"/>
            <w:gridSpan w:val="9"/>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南宁威耀集采集配供应链管理有限公司</w:t>
            </w:r>
          </w:p>
        </w:tc>
        <w:tc>
          <w:tcPr>
            <w:tcW w:w="1578"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食品加工、流通、销售、产品质量管理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4961" w:type="dxa"/>
            <w:gridSpan w:val="9"/>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广西食品工业协会</w:t>
            </w:r>
          </w:p>
        </w:tc>
        <w:tc>
          <w:tcPr>
            <w:tcW w:w="1578"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食品推广、销售、宣传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6</w:t>
            </w:r>
          </w:p>
        </w:tc>
        <w:tc>
          <w:tcPr>
            <w:tcW w:w="4961" w:type="dxa"/>
            <w:gridSpan w:val="9"/>
            <w:vAlign w:val="center"/>
          </w:tcPr>
          <w:p>
            <w:pPr>
              <w:pStyle w:val="22"/>
              <w:spacing w:line="440" w:lineRule="exact"/>
              <w:jc w:val="center"/>
              <w:rPr>
                <w:rFonts w:ascii="仿宋" w:hAnsi="仿宋" w:eastAsia="仿宋" w:cs="Times New Roman"/>
                <w:sz w:val="24"/>
                <w:szCs w:val="24"/>
              </w:rPr>
            </w:pPr>
            <w:r>
              <w:rPr>
                <w:rFonts w:ascii="仿宋" w:hAnsi="仿宋" w:eastAsia="仿宋" w:cs="Times New Roman"/>
                <w:sz w:val="24"/>
                <w:szCs w:val="24"/>
              </w:rPr>
              <w:t>防城港澳加粮油工业有限公司</w:t>
            </w:r>
          </w:p>
          <w:p>
            <w:pPr>
              <w:spacing w:line="300" w:lineRule="exact"/>
              <w:jc w:val="center"/>
              <w:rPr>
                <w:rFonts w:ascii="仿宋" w:hAnsi="仿宋" w:eastAsia="仿宋"/>
                <w:sz w:val="24"/>
                <w:szCs w:val="24"/>
              </w:rPr>
            </w:pPr>
          </w:p>
        </w:tc>
        <w:tc>
          <w:tcPr>
            <w:tcW w:w="1578" w:type="dxa"/>
            <w:gridSpan w:val="2"/>
            <w:vAlign w:val="center"/>
          </w:tcPr>
          <w:p>
            <w:pPr>
              <w:spacing w:line="300" w:lineRule="exact"/>
              <w:jc w:val="center"/>
              <w:rPr>
                <w:rFonts w:ascii="仿宋" w:hAnsi="仿宋" w:eastAsia="仿宋"/>
                <w:sz w:val="24"/>
                <w:szCs w:val="24"/>
              </w:rPr>
            </w:pPr>
            <w:r>
              <w:rPr>
                <w:rFonts w:hint="eastAsia" w:ascii="仿宋" w:hAnsi="仿宋" w:eastAsia="仿宋"/>
                <w:sz w:val="24"/>
                <w:szCs w:val="24"/>
              </w:rPr>
              <w:t>食品加工、流通、销售、产品质量管理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4961" w:type="dxa"/>
            <w:gridSpan w:val="9"/>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广西产品质量检验研究院</w:t>
            </w:r>
          </w:p>
        </w:tc>
        <w:tc>
          <w:tcPr>
            <w:tcW w:w="1578"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产品检验检测技术</w:t>
            </w:r>
            <w:r>
              <w:rPr>
                <w:rFonts w:hint="eastAsia" w:ascii="仿宋" w:hAnsi="仿宋" w:eastAsia="仿宋" w:cs="仿宋"/>
                <w:sz w:val="24"/>
                <w:szCs w:val="24"/>
              </w:rPr>
              <w:t>、</w:t>
            </w:r>
            <w:r>
              <w:rPr>
                <w:rFonts w:hint="eastAsia" w:ascii="仿宋" w:hAnsi="仿宋" w:eastAsia="仿宋" w:cs="仿宋"/>
                <w:kern w:val="0"/>
                <w:sz w:val="24"/>
                <w:szCs w:val="24"/>
              </w:rPr>
              <w:t>标准化、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4961" w:type="dxa"/>
            <w:gridSpan w:val="9"/>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苏宁易购集团有限公司</w:t>
            </w:r>
          </w:p>
        </w:tc>
        <w:tc>
          <w:tcPr>
            <w:tcW w:w="1578"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物流、信息化管理、质量管理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9</w:t>
            </w:r>
          </w:p>
        </w:tc>
        <w:tc>
          <w:tcPr>
            <w:tcW w:w="4961" w:type="dxa"/>
            <w:gridSpan w:val="9"/>
            <w:vAlign w:val="center"/>
          </w:tcPr>
          <w:p>
            <w:pPr>
              <w:spacing w:line="3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广西京东信诚供应链有限公司</w:t>
            </w:r>
          </w:p>
        </w:tc>
        <w:tc>
          <w:tcPr>
            <w:tcW w:w="1578" w:type="dxa"/>
            <w:gridSpan w:val="2"/>
            <w:vAlign w:val="center"/>
          </w:tcPr>
          <w:p>
            <w:pPr>
              <w:spacing w:line="3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物流、信息化管理、供应商质量管理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cs="仿宋"/>
                <w:kern w:val="0"/>
                <w:sz w:val="24"/>
                <w:szCs w:val="24"/>
              </w:rPr>
            </w:pPr>
            <w:r>
              <w:rPr>
                <w:rFonts w:hint="eastAsia" w:ascii="仿宋" w:hAnsi="仿宋" w:eastAsia="仿宋"/>
                <w:sz w:val="24"/>
                <w:szCs w:val="24"/>
              </w:rPr>
              <w:t>1</w:t>
            </w:r>
            <w:r>
              <w:rPr>
                <w:rFonts w:ascii="仿宋" w:hAnsi="仿宋" w:eastAsia="仿宋"/>
                <w:sz w:val="24"/>
                <w:szCs w:val="24"/>
              </w:rPr>
              <w:t>0</w:t>
            </w:r>
          </w:p>
        </w:tc>
        <w:tc>
          <w:tcPr>
            <w:tcW w:w="4961" w:type="dxa"/>
            <w:gridSpan w:val="9"/>
            <w:vAlign w:val="center"/>
          </w:tcPr>
          <w:p>
            <w:pPr>
              <w:spacing w:line="300" w:lineRule="exact"/>
              <w:jc w:val="center"/>
              <w:rPr>
                <w:rFonts w:ascii="仿宋" w:hAnsi="仿宋" w:eastAsia="仿宋"/>
                <w:sz w:val="24"/>
                <w:szCs w:val="24"/>
              </w:rPr>
            </w:pPr>
            <w:r>
              <w:rPr>
                <w:rFonts w:hint="eastAsia" w:ascii="仿宋" w:hAnsi="仿宋" w:eastAsia="仿宋"/>
                <w:sz w:val="24"/>
                <w:szCs w:val="24"/>
              </w:rPr>
              <w:t>广西和桂集团有限公司</w:t>
            </w:r>
          </w:p>
        </w:tc>
        <w:tc>
          <w:tcPr>
            <w:tcW w:w="1578"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物流、仓储、食品加工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11</w:t>
            </w:r>
          </w:p>
        </w:tc>
        <w:tc>
          <w:tcPr>
            <w:tcW w:w="4961" w:type="dxa"/>
            <w:gridSpan w:val="9"/>
            <w:vAlign w:val="center"/>
          </w:tcPr>
          <w:p>
            <w:pPr>
              <w:spacing w:line="300" w:lineRule="exact"/>
              <w:jc w:val="center"/>
              <w:rPr>
                <w:rFonts w:ascii="仿宋" w:hAnsi="仿宋" w:eastAsia="仿宋"/>
                <w:sz w:val="24"/>
                <w:szCs w:val="24"/>
              </w:rPr>
            </w:pPr>
            <w:r>
              <w:rPr>
                <w:rFonts w:hint="eastAsia" w:ascii="仿宋" w:hAnsi="仿宋" w:eastAsia="仿宋"/>
                <w:sz w:val="24"/>
                <w:szCs w:val="24"/>
              </w:rPr>
              <w:t>广西华测检测技术有限公司</w:t>
            </w:r>
          </w:p>
        </w:tc>
        <w:tc>
          <w:tcPr>
            <w:tcW w:w="1578" w:type="dxa"/>
            <w:gridSpan w:val="2"/>
            <w:vAlign w:val="center"/>
          </w:tcPr>
          <w:p>
            <w:pPr>
              <w:spacing w:line="300" w:lineRule="exact"/>
              <w:jc w:val="center"/>
              <w:rPr>
                <w:rFonts w:ascii="仿宋" w:hAnsi="仿宋" w:eastAsia="仿宋"/>
                <w:sz w:val="24"/>
                <w:szCs w:val="24"/>
              </w:rPr>
            </w:pPr>
            <w:r>
              <w:rPr>
                <w:rFonts w:hint="eastAsia" w:ascii="仿宋" w:hAnsi="仿宋" w:eastAsia="仿宋" w:cs="仿宋"/>
                <w:kern w:val="0"/>
                <w:sz w:val="24"/>
                <w:szCs w:val="24"/>
              </w:rPr>
              <w:t>食品检测、标准化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p>
        </w:tc>
        <w:tc>
          <w:tcPr>
            <w:tcW w:w="4961" w:type="dxa"/>
            <w:gridSpan w:val="9"/>
            <w:vAlign w:val="center"/>
          </w:tcPr>
          <w:p>
            <w:pPr>
              <w:spacing w:line="300" w:lineRule="exact"/>
              <w:jc w:val="center"/>
              <w:rPr>
                <w:rFonts w:ascii="仿宋" w:hAnsi="仿宋" w:eastAsia="仿宋"/>
                <w:sz w:val="24"/>
                <w:szCs w:val="24"/>
              </w:rPr>
            </w:pPr>
            <w:r>
              <w:rPr>
                <w:rFonts w:hint="eastAsia" w:ascii="仿宋" w:hAnsi="仿宋" w:eastAsia="仿宋"/>
                <w:sz w:val="24"/>
                <w:szCs w:val="24"/>
              </w:rPr>
              <w:t>北京普析通用仪器有限责任公司</w:t>
            </w:r>
          </w:p>
        </w:tc>
        <w:tc>
          <w:tcPr>
            <w:tcW w:w="1578" w:type="dxa"/>
            <w:gridSpan w:val="2"/>
            <w:vAlign w:val="center"/>
          </w:tcPr>
          <w:p>
            <w:pPr>
              <w:spacing w:line="300" w:lineRule="exact"/>
              <w:jc w:val="center"/>
              <w:rPr>
                <w:rFonts w:ascii="仿宋" w:hAnsi="仿宋" w:eastAsia="仿宋"/>
                <w:sz w:val="24"/>
                <w:szCs w:val="24"/>
              </w:rPr>
            </w:pPr>
            <w:r>
              <w:rPr>
                <w:rFonts w:hint="eastAsia" w:ascii="仿宋" w:hAnsi="仿宋" w:eastAsia="仿宋"/>
                <w:sz w:val="24"/>
                <w:szCs w:val="24"/>
              </w:rPr>
              <w:t>食品检测、信息化管理、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1641" w:type="dxa"/>
            <w:gridSpan w:val="3"/>
            <w:vMerge w:val="continue"/>
            <w:vAlign w:val="center"/>
          </w:tcPr>
          <w:p>
            <w:pPr>
              <w:spacing w:line="300" w:lineRule="exact"/>
              <w:jc w:val="center"/>
              <w:rPr>
                <w:rFonts w:ascii="仿宋" w:hAnsi="仿宋" w:eastAsia="仿宋" w:cs="仿宋"/>
                <w:kern w:val="0"/>
                <w:sz w:val="24"/>
                <w:szCs w:val="24"/>
              </w:rPr>
            </w:pPr>
          </w:p>
        </w:tc>
        <w:tc>
          <w:tcPr>
            <w:tcW w:w="874"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3</w:t>
            </w:r>
          </w:p>
        </w:tc>
        <w:tc>
          <w:tcPr>
            <w:tcW w:w="4961" w:type="dxa"/>
            <w:gridSpan w:val="9"/>
            <w:vAlign w:val="center"/>
          </w:tcPr>
          <w:p>
            <w:pPr>
              <w:spacing w:line="3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广西机械工业研究院</w:t>
            </w:r>
          </w:p>
        </w:tc>
        <w:tc>
          <w:tcPr>
            <w:tcW w:w="1578" w:type="dxa"/>
            <w:gridSpan w:val="2"/>
            <w:vAlign w:val="center"/>
          </w:tcPr>
          <w:p>
            <w:pPr>
              <w:spacing w:line="3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工程技术与设计服务</w:t>
            </w:r>
            <w:r>
              <w:rPr>
                <w:rFonts w:hint="eastAsia" w:ascii="仿宋" w:hAnsi="仿宋" w:eastAsia="仿宋"/>
                <w:color w:val="000000" w:themeColor="text1"/>
                <w:sz w:val="24"/>
                <w:szCs w:val="24"/>
                <w14:textFill>
                  <w14:solidFill>
                    <w14:schemeClr w14:val="tx1"/>
                  </w14:solidFill>
                </w14:textFill>
              </w:rPr>
              <w:t>、机电产品设计与制造服务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44" w:type="dxa"/>
            <w:gridSpan w:val="2"/>
            <w:vMerge w:val="restart"/>
            <w:vAlign w:val="center"/>
          </w:tcPr>
          <w:p>
            <w:pPr>
              <w:spacing w:line="300" w:lineRule="exact"/>
              <w:jc w:val="center"/>
              <w:rPr>
                <w:rFonts w:ascii="仿宋" w:hAnsi="仿宋" w:eastAsia="仿宋" w:cs="仿宋"/>
                <w:sz w:val="24"/>
                <w:szCs w:val="24"/>
              </w:rPr>
            </w:pPr>
            <w:r>
              <w:rPr>
                <w:rFonts w:hint="eastAsia" w:ascii="仿宋" w:hAnsi="仿宋" w:eastAsia="仿宋" w:cs="仿宋"/>
                <w:kern w:val="0"/>
                <w:sz w:val="24"/>
                <w:szCs w:val="24"/>
              </w:rPr>
              <w:t>产业学院院长基本信息</w:t>
            </w:r>
          </w:p>
        </w:tc>
        <w:tc>
          <w:tcPr>
            <w:tcW w:w="797" w:type="dxa"/>
            <w:vAlign w:val="center"/>
          </w:tcPr>
          <w:p>
            <w:pPr>
              <w:snapToGrid w:val="0"/>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姓名</w:t>
            </w:r>
          </w:p>
        </w:tc>
        <w:tc>
          <w:tcPr>
            <w:tcW w:w="2040" w:type="dxa"/>
            <w:gridSpan w:val="3"/>
            <w:vAlign w:val="center"/>
          </w:tcPr>
          <w:p>
            <w:pPr>
              <w:snapToGrid w:val="0"/>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李栋学</w:t>
            </w:r>
          </w:p>
        </w:tc>
        <w:tc>
          <w:tcPr>
            <w:tcW w:w="677" w:type="dxa"/>
            <w:vAlign w:val="center"/>
          </w:tcPr>
          <w:p>
            <w:pPr>
              <w:snapToGrid w:val="0"/>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政治面貌</w:t>
            </w:r>
          </w:p>
        </w:tc>
        <w:tc>
          <w:tcPr>
            <w:tcW w:w="1909" w:type="dxa"/>
            <w:gridSpan w:val="3"/>
            <w:vAlign w:val="center"/>
          </w:tcPr>
          <w:p>
            <w:pPr>
              <w:snapToGrid w:val="0"/>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中共党员</w:t>
            </w:r>
          </w:p>
        </w:tc>
        <w:tc>
          <w:tcPr>
            <w:tcW w:w="1209" w:type="dxa"/>
            <w:gridSpan w:val="3"/>
            <w:vAlign w:val="center"/>
          </w:tcPr>
          <w:p>
            <w:pPr>
              <w:snapToGrid w:val="0"/>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党政职务</w:t>
            </w:r>
          </w:p>
        </w:tc>
        <w:tc>
          <w:tcPr>
            <w:tcW w:w="1578" w:type="dxa"/>
            <w:gridSpan w:val="2"/>
            <w:vAlign w:val="center"/>
          </w:tcPr>
          <w:p>
            <w:pPr>
              <w:snapToGrid w:val="0"/>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44" w:type="dxa"/>
            <w:gridSpan w:val="2"/>
            <w:vMerge w:val="continue"/>
            <w:vAlign w:val="center"/>
          </w:tcPr>
          <w:p>
            <w:pPr>
              <w:spacing w:line="300" w:lineRule="exact"/>
              <w:jc w:val="center"/>
              <w:rPr>
                <w:rFonts w:ascii="仿宋" w:hAnsi="仿宋" w:eastAsia="仿宋" w:cs="仿宋"/>
                <w:kern w:val="0"/>
                <w:sz w:val="24"/>
                <w:szCs w:val="24"/>
              </w:rPr>
            </w:pPr>
          </w:p>
        </w:tc>
        <w:tc>
          <w:tcPr>
            <w:tcW w:w="797"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学历</w:t>
            </w:r>
          </w:p>
        </w:tc>
        <w:tc>
          <w:tcPr>
            <w:tcW w:w="2040" w:type="dxa"/>
            <w:gridSpan w:val="3"/>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研究生</w:t>
            </w:r>
          </w:p>
        </w:tc>
        <w:tc>
          <w:tcPr>
            <w:tcW w:w="677"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学位</w:t>
            </w:r>
          </w:p>
        </w:tc>
        <w:tc>
          <w:tcPr>
            <w:tcW w:w="1909" w:type="dxa"/>
            <w:gridSpan w:val="3"/>
            <w:vAlign w:val="center"/>
          </w:tcPr>
          <w:p>
            <w:pPr>
              <w:spacing w:line="300" w:lineRule="exact"/>
              <w:jc w:val="center"/>
              <w:rPr>
                <w:rFonts w:ascii="仿宋" w:hAnsi="仿宋" w:eastAsia="仿宋" w:cs="仿宋"/>
                <w:kern w:val="0"/>
                <w:sz w:val="24"/>
                <w:szCs w:val="24"/>
              </w:rPr>
            </w:pPr>
            <w:r>
              <w:rPr>
                <w:rFonts w:ascii="仿宋" w:hAnsi="仿宋" w:eastAsia="仿宋" w:cs="仿宋"/>
                <w:kern w:val="0"/>
                <w:sz w:val="24"/>
                <w:szCs w:val="24"/>
              </w:rPr>
              <w:t>博士</w:t>
            </w:r>
          </w:p>
        </w:tc>
        <w:tc>
          <w:tcPr>
            <w:tcW w:w="1209" w:type="dxa"/>
            <w:gridSpan w:val="3"/>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职称</w:t>
            </w:r>
          </w:p>
        </w:tc>
        <w:tc>
          <w:tcPr>
            <w:tcW w:w="1578" w:type="dxa"/>
            <w:gridSpan w:val="2"/>
            <w:vAlign w:val="center"/>
          </w:tcPr>
          <w:p>
            <w:pPr>
              <w:spacing w:line="300" w:lineRule="exact"/>
              <w:jc w:val="center"/>
              <w:rPr>
                <w:rFonts w:ascii="仿宋" w:hAnsi="仿宋" w:eastAsia="仿宋" w:cs="仿宋"/>
                <w:kern w:val="0"/>
                <w:sz w:val="24"/>
                <w:szCs w:val="24"/>
              </w:rPr>
            </w:pPr>
            <w:r>
              <w:rPr>
                <w:rFonts w:ascii="仿宋" w:hAnsi="仿宋" w:eastAsia="仿宋" w:cs="仿宋"/>
                <w:kern w:val="0"/>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844" w:type="dxa"/>
            <w:gridSpan w:val="2"/>
            <w:vMerge w:val="continue"/>
            <w:vAlign w:val="center"/>
          </w:tcPr>
          <w:p>
            <w:pPr>
              <w:spacing w:line="300" w:lineRule="exact"/>
              <w:jc w:val="center"/>
              <w:rPr>
                <w:rFonts w:ascii="仿宋" w:hAnsi="仿宋" w:eastAsia="仿宋" w:cs="仿宋"/>
                <w:kern w:val="0"/>
                <w:sz w:val="24"/>
                <w:szCs w:val="24"/>
              </w:rPr>
            </w:pPr>
          </w:p>
        </w:tc>
        <w:tc>
          <w:tcPr>
            <w:tcW w:w="797"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工作</w:t>
            </w:r>
          </w:p>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年限</w:t>
            </w:r>
          </w:p>
        </w:tc>
        <w:tc>
          <w:tcPr>
            <w:tcW w:w="2040" w:type="dxa"/>
            <w:gridSpan w:val="3"/>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31</w:t>
            </w:r>
          </w:p>
        </w:tc>
        <w:tc>
          <w:tcPr>
            <w:tcW w:w="677"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办公电话</w:t>
            </w:r>
          </w:p>
        </w:tc>
        <w:tc>
          <w:tcPr>
            <w:tcW w:w="1909" w:type="dxa"/>
            <w:gridSpan w:val="3"/>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07715900927</w:t>
            </w:r>
          </w:p>
        </w:tc>
        <w:tc>
          <w:tcPr>
            <w:tcW w:w="1209" w:type="dxa"/>
            <w:gridSpan w:val="3"/>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手机号码</w:t>
            </w:r>
          </w:p>
        </w:tc>
        <w:tc>
          <w:tcPr>
            <w:tcW w:w="1578"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13507715463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844" w:type="dxa"/>
            <w:gridSpan w:val="2"/>
            <w:vMerge w:val="continue"/>
            <w:vAlign w:val="center"/>
          </w:tcPr>
          <w:p>
            <w:pPr>
              <w:spacing w:line="300" w:lineRule="exact"/>
              <w:jc w:val="center"/>
              <w:rPr>
                <w:rFonts w:ascii="仿宋" w:hAnsi="仿宋" w:eastAsia="仿宋" w:cs="仿宋"/>
                <w:kern w:val="0"/>
                <w:sz w:val="24"/>
                <w:szCs w:val="24"/>
              </w:rPr>
            </w:pPr>
          </w:p>
        </w:tc>
        <w:tc>
          <w:tcPr>
            <w:tcW w:w="797"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主要</w:t>
            </w:r>
          </w:p>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职责</w:t>
            </w:r>
          </w:p>
        </w:tc>
        <w:tc>
          <w:tcPr>
            <w:tcW w:w="7413" w:type="dxa"/>
            <w:gridSpan w:val="12"/>
            <w:vAlign w:val="center"/>
          </w:tcPr>
          <w:p>
            <w:pPr>
              <w:spacing w:line="300" w:lineRule="exact"/>
              <w:jc w:val="left"/>
              <w:rPr>
                <w:rFonts w:ascii="仿宋" w:hAnsi="仿宋" w:eastAsia="仿宋" w:cs="仿宋"/>
                <w:kern w:val="0"/>
                <w:sz w:val="24"/>
                <w:szCs w:val="24"/>
              </w:rPr>
            </w:pPr>
            <w:r>
              <w:rPr>
                <w:rFonts w:hint="eastAsia" w:ascii="仿宋" w:hAnsi="仿宋" w:eastAsia="仿宋" w:cs="仿宋"/>
                <w:kern w:val="0"/>
                <w:sz w:val="24"/>
                <w:szCs w:val="24"/>
              </w:rPr>
              <w:t>1.负责统筹产业学院的建设与发展规划；</w:t>
            </w:r>
          </w:p>
          <w:p>
            <w:pPr>
              <w:spacing w:line="300" w:lineRule="exact"/>
              <w:jc w:val="left"/>
              <w:rPr>
                <w:rFonts w:ascii="仿宋" w:hAnsi="仿宋" w:eastAsia="仿宋" w:cs="仿宋"/>
                <w:kern w:val="0"/>
                <w:sz w:val="24"/>
                <w:szCs w:val="24"/>
              </w:rPr>
            </w:pPr>
            <w:r>
              <w:rPr>
                <w:rFonts w:hint="eastAsia" w:ascii="仿宋" w:hAnsi="仿宋" w:eastAsia="仿宋" w:cs="仿宋"/>
                <w:kern w:val="0"/>
                <w:sz w:val="24"/>
                <w:szCs w:val="24"/>
              </w:rPr>
              <w:t>2.负责统筹协调产业学院共建企业（单位）；</w:t>
            </w:r>
          </w:p>
          <w:p>
            <w:pPr>
              <w:spacing w:line="300" w:lineRule="exact"/>
              <w:jc w:val="left"/>
              <w:rPr>
                <w:rFonts w:ascii="仿宋" w:hAnsi="仿宋" w:eastAsia="仿宋" w:cs="仿宋"/>
                <w:kern w:val="0"/>
                <w:sz w:val="24"/>
                <w:szCs w:val="24"/>
              </w:rPr>
            </w:pPr>
            <w:r>
              <w:rPr>
                <w:rFonts w:hint="eastAsia" w:ascii="仿宋" w:hAnsi="仿宋" w:eastAsia="仿宋" w:cs="仿宋"/>
                <w:kern w:val="0"/>
                <w:sz w:val="24"/>
                <w:szCs w:val="24"/>
              </w:rPr>
              <w:t>3.负责筹措产业学院建设的场地、经费和人力资源；</w:t>
            </w:r>
          </w:p>
          <w:p>
            <w:pPr>
              <w:spacing w:line="300" w:lineRule="exact"/>
              <w:jc w:val="left"/>
              <w:rPr>
                <w:rFonts w:ascii="仿宋" w:hAnsi="仿宋" w:eastAsia="仿宋" w:cs="仿宋"/>
                <w:kern w:val="0"/>
                <w:sz w:val="24"/>
                <w:szCs w:val="24"/>
              </w:rPr>
            </w:pPr>
            <w:r>
              <w:rPr>
                <w:rFonts w:hint="eastAsia" w:ascii="仿宋" w:hAnsi="仿宋" w:eastAsia="仿宋" w:cs="仿宋"/>
                <w:kern w:val="0"/>
                <w:sz w:val="24"/>
                <w:szCs w:val="24"/>
              </w:rPr>
              <w:t>4.负责领导制定产业学院的管理制度，建立科学的运行机制。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844" w:type="dxa"/>
            <w:gridSpan w:val="2"/>
            <w:vMerge w:val="continue"/>
            <w:vAlign w:val="center"/>
          </w:tcPr>
          <w:p>
            <w:pPr>
              <w:spacing w:line="300" w:lineRule="exact"/>
              <w:jc w:val="center"/>
              <w:rPr>
                <w:rFonts w:ascii="仿宋" w:hAnsi="仿宋" w:eastAsia="仿宋" w:cs="仿宋"/>
                <w:kern w:val="0"/>
                <w:sz w:val="24"/>
                <w:szCs w:val="24"/>
              </w:rPr>
            </w:pPr>
          </w:p>
        </w:tc>
        <w:tc>
          <w:tcPr>
            <w:tcW w:w="797" w:type="dxa"/>
            <w:vAlign w:val="center"/>
          </w:tcPr>
          <w:p>
            <w:pPr>
              <w:spacing w:line="300" w:lineRule="exact"/>
              <w:rPr>
                <w:rFonts w:ascii="仿宋" w:hAnsi="仿宋" w:eastAsia="仿宋" w:cs="仿宋"/>
                <w:kern w:val="0"/>
                <w:sz w:val="24"/>
                <w:szCs w:val="24"/>
              </w:rPr>
            </w:pPr>
            <w:r>
              <w:rPr>
                <w:rFonts w:hint="eastAsia" w:ascii="仿宋" w:hAnsi="仿宋" w:eastAsia="仿宋" w:cs="仿宋"/>
                <w:kern w:val="0"/>
                <w:sz w:val="24"/>
                <w:szCs w:val="24"/>
              </w:rPr>
              <w:t>主要工作经历</w:t>
            </w:r>
          </w:p>
        </w:tc>
        <w:tc>
          <w:tcPr>
            <w:tcW w:w="7413" w:type="dxa"/>
            <w:gridSpan w:val="12"/>
            <w:vAlign w:val="center"/>
          </w:tcPr>
          <w:p>
            <w:pPr>
              <w:spacing w:line="300" w:lineRule="exact"/>
              <w:jc w:val="left"/>
              <w:rPr>
                <w:rFonts w:ascii="仿宋" w:hAnsi="仿宋" w:eastAsia="仿宋" w:cs="仿宋"/>
                <w:kern w:val="0"/>
                <w:sz w:val="24"/>
                <w:szCs w:val="24"/>
              </w:rPr>
            </w:pPr>
            <w:r>
              <w:rPr>
                <w:rFonts w:hint="eastAsia" w:ascii="仿宋" w:hAnsi="仿宋" w:eastAsia="仿宋" w:cs="仿宋"/>
                <w:kern w:val="0"/>
                <w:sz w:val="24"/>
                <w:szCs w:val="24"/>
              </w:rPr>
              <w:t>1991.07-2015.10，广西教育厅工作，历任副处长、处长；</w:t>
            </w:r>
          </w:p>
          <w:p>
            <w:pPr>
              <w:spacing w:line="300" w:lineRule="exact"/>
              <w:jc w:val="left"/>
              <w:rPr>
                <w:rFonts w:ascii="仿宋" w:hAnsi="仿宋" w:eastAsia="仿宋" w:cs="仿宋"/>
                <w:kern w:val="0"/>
                <w:sz w:val="24"/>
                <w:szCs w:val="24"/>
              </w:rPr>
            </w:pPr>
            <w:r>
              <w:rPr>
                <w:rFonts w:hint="eastAsia" w:ascii="仿宋" w:hAnsi="仿宋" w:eastAsia="仿宋" w:cs="仿宋"/>
                <w:kern w:val="0"/>
                <w:sz w:val="24"/>
                <w:szCs w:val="24"/>
              </w:rPr>
              <w:t>2015.10-2021.01，广西科技师范学院副校长；</w:t>
            </w:r>
          </w:p>
          <w:p>
            <w:pPr>
              <w:spacing w:line="300" w:lineRule="exact"/>
              <w:rPr>
                <w:rFonts w:ascii="仿宋" w:hAnsi="仿宋" w:eastAsia="仿宋" w:cs="仿宋"/>
                <w:kern w:val="0"/>
                <w:sz w:val="24"/>
                <w:szCs w:val="24"/>
              </w:rPr>
            </w:pPr>
            <w:r>
              <w:rPr>
                <w:rFonts w:hint="eastAsia" w:ascii="仿宋" w:hAnsi="仿宋" w:eastAsia="仿宋" w:cs="仿宋"/>
                <w:kern w:val="0"/>
                <w:sz w:val="24"/>
                <w:szCs w:val="24"/>
              </w:rPr>
              <w:t>2021.01至今，南宁学院校长。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844" w:type="dxa"/>
            <w:gridSpan w:val="2"/>
            <w:vMerge w:val="continue"/>
            <w:vAlign w:val="center"/>
          </w:tcPr>
          <w:p>
            <w:pPr>
              <w:spacing w:line="300" w:lineRule="exact"/>
              <w:jc w:val="center"/>
              <w:rPr>
                <w:rFonts w:ascii="仿宋" w:hAnsi="仿宋" w:eastAsia="仿宋" w:cs="仿宋"/>
                <w:kern w:val="0"/>
                <w:sz w:val="24"/>
                <w:szCs w:val="24"/>
              </w:rPr>
            </w:pPr>
          </w:p>
        </w:tc>
        <w:tc>
          <w:tcPr>
            <w:tcW w:w="797"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校企合作经历</w:t>
            </w:r>
          </w:p>
        </w:tc>
        <w:tc>
          <w:tcPr>
            <w:tcW w:w="7413" w:type="dxa"/>
            <w:gridSpan w:val="12"/>
            <w:vAlign w:val="center"/>
          </w:tcPr>
          <w:p>
            <w:pPr>
              <w:spacing w:line="30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教育部高等学校中职学校教师培养教学指导委员会委员，广西第一批高层次人才，自治区政府第七届、第九届督学，自治区教师教育指导委员会委员、中职教师教育分委员会主任，曾任广西教育厅职业教育与成人教育处处长、广西科技师范学院副校长。长期从事职业教育管理和研究工作，多次参与国家和自治区职业教育重大政策起草；参与策划实施广西职教攻坚、广西职教体系建设、国家民族地区职教实验区建设、中国-东盟职教联展暨论坛等重大改革活动。独著1部、合著2部、合编6部；独著或合著论文16篇；先后参与国家重大课题1项、自治区重大招标课题2项，主持或参与国家和自治区课题15项，先后获广西社会科学研究优秀成果奖5项（一等奖1项、二等奖1项、三等奖3项）。</w:t>
            </w:r>
            <w:r>
              <w:rPr>
                <w:rFonts w:ascii="宋体" w:hAnsi="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9" w:type="dxa"/>
            <w:vMerge w:val="restart"/>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产业学院教师基本信息</w:t>
            </w:r>
          </w:p>
        </w:tc>
        <w:tc>
          <w:tcPr>
            <w:tcW w:w="812" w:type="dxa"/>
            <w:gridSpan w:val="2"/>
            <w:tcBorders>
              <w:tl2br w:val="single" w:color="auto" w:sz="4" w:space="0"/>
            </w:tcBorders>
            <w:vAlign w:val="center"/>
          </w:tcPr>
          <w:p>
            <w:pPr>
              <w:spacing w:line="300" w:lineRule="exact"/>
              <w:jc w:val="center"/>
              <w:rPr>
                <w:rFonts w:ascii="仿宋" w:hAnsi="仿宋" w:eastAsia="仿宋" w:cs="仿宋"/>
                <w:kern w:val="0"/>
                <w:sz w:val="24"/>
                <w:szCs w:val="24"/>
              </w:rPr>
            </w:pPr>
          </w:p>
        </w:tc>
        <w:tc>
          <w:tcPr>
            <w:tcW w:w="1299"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教师总人数</w:t>
            </w:r>
          </w:p>
        </w:tc>
        <w:tc>
          <w:tcPr>
            <w:tcW w:w="741"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正高级</w:t>
            </w:r>
          </w:p>
        </w:tc>
        <w:tc>
          <w:tcPr>
            <w:tcW w:w="1244"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副高级</w:t>
            </w:r>
          </w:p>
        </w:tc>
        <w:tc>
          <w:tcPr>
            <w:tcW w:w="1061"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中级及以下</w:t>
            </w:r>
          </w:p>
        </w:tc>
        <w:tc>
          <w:tcPr>
            <w:tcW w:w="850"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企业教师数</w:t>
            </w:r>
          </w:p>
        </w:tc>
        <w:tc>
          <w:tcPr>
            <w:tcW w:w="875" w:type="dxa"/>
            <w:gridSpan w:val="3"/>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学校教师数</w:t>
            </w:r>
          </w:p>
        </w:tc>
        <w:tc>
          <w:tcPr>
            <w:tcW w:w="1343"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具有企业背景的专职教师数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29" w:type="dxa"/>
            <w:vMerge w:val="continue"/>
            <w:vAlign w:val="center"/>
          </w:tcPr>
          <w:p>
            <w:pPr>
              <w:spacing w:line="300" w:lineRule="exact"/>
              <w:jc w:val="center"/>
              <w:rPr>
                <w:rFonts w:ascii="仿宋" w:hAnsi="仿宋" w:eastAsia="仿宋" w:cs="仿宋"/>
                <w:kern w:val="0"/>
                <w:sz w:val="24"/>
                <w:szCs w:val="24"/>
              </w:rPr>
            </w:pPr>
          </w:p>
        </w:tc>
        <w:tc>
          <w:tcPr>
            <w:tcW w:w="812"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教师数</w:t>
            </w:r>
          </w:p>
        </w:tc>
        <w:tc>
          <w:tcPr>
            <w:tcW w:w="1299"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196</w:t>
            </w:r>
          </w:p>
        </w:tc>
        <w:tc>
          <w:tcPr>
            <w:tcW w:w="741"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22</w:t>
            </w:r>
          </w:p>
        </w:tc>
        <w:tc>
          <w:tcPr>
            <w:tcW w:w="1244"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86</w:t>
            </w:r>
          </w:p>
        </w:tc>
        <w:tc>
          <w:tcPr>
            <w:tcW w:w="1061"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88</w:t>
            </w:r>
          </w:p>
        </w:tc>
        <w:tc>
          <w:tcPr>
            <w:tcW w:w="850"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98</w:t>
            </w:r>
          </w:p>
        </w:tc>
        <w:tc>
          <w:tcPr>
            <w:tcW w:w="875" w:type="dxa"/>
            <w:gridSpan w:val="3"/>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98</w:t>
            </w:r>
          </w:p>
        </w:tc>
        <w:tc>
          <w:tcPr>
            <w:tcW w:w="1343"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9" w:type="dxa"/>
            <w:vMerge w:val="continue"/>
            <w:vAlign w:val="center"/>
          </w:tcPr>
          <w:p>
            <w:pPr>
              <w:spacing w:line="300" w:lineRule="exact"/>
              <w:jc w:val="center"/>
              <w:rPr>
                <w:rFonts w:ascii="仿宋" w:hAnsi="仿宋" w:eastAsia="仿宋" w:cs="仿宋"/>
                <w:kern w:val="0"/>
                <w:sz w:val="24"/>
                <w:szCs w:val="24"/>
              </w:rPr>
            </w:pPr>
          </w:p>
        </w:tc>
        <w:tc>
          <w:tcPr>
            <w:tcW w:w="812"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占总人数比例</w:t>
            </w:r>
          </w:p>
        </w:tc>
        <w:tc>
          <w:tcPr>
            <w:tcW w:w="1299"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100%</w:t>
            </w:r>
          </w:p>
        </w:tc>
        <w:tc>
          <w:tcPr>
            <w:tcW w:w="741"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11%</w:t>
            </w:r>
          </w:p>
        </w:tc>
        <w:tc>
          <w:tcPr>
            <w:tcW w:w="1244"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44%</w:t>
            </w:r>
          </w:p>
        </w:tc>
        <w:tc>
          <w:tcPr>
            <w:tcW w:w="1061"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45%</w:t>
            </w:r>
          </w:p>
        </w:tc>
        <w:tc>
          <w:tcPr>
            <w:tcW w:w="850"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50%</w:t>
            </w:r>
          </w:p>
        </w:tc>
        <w:tc>
          <w:tcPr>
            <w:tcW w:w="875" w:type="dxa"/>
            <w:gridSpan w:val="3"/>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50%</w:t>
            </w:r>
          </w:p>
        </w:tc>
        <w:tc>
          <w:tcPr>
            <w:tcW w:w="1343"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9" w:type="dxa"/>
            <w:vMerge w:val="restart"/>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产业学院学生基本信息</w:t>
            </w:r>
          </w:p>
        </w:tc>
        <w:tc>
          <w:tcPr>
            <w:tcW w:w="812" w:type="dxa"/>
            <w:gridSpan w:val="2"/>
            <w:tcBorders>
              <w:tl2br w:val="single" w:color="auto" w:sz="4" w:space="0"/>
            </w:tcBorders>
            <w:vAlign w:val="center"/>
          </w:tcPr>
          <w:p>
            <w:pPr>
              <w:spacing w:line="300" w:lineRule="exact"/>
              <w:jc w:val="center"/>
              <w:rPr>
                <w:rFonts w:ascii="仿宋" w:hAnsi="仿宋" w:eastAsia="仿宋" w:cs="仿宋"/>
                <w:kern w:val="0"/>
                <w:sz w:val="24"/>
                <w:szCs w:val="24"/>
              </w:rPr>
            </w:pPr>
          </w:p>
        </w:tc>
        <w:tc>
          <w:tcPr>
            <w:tcW w:w="1299"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学生总人数</w:t>
            </w:r>
          </w:p>
        </w:tc>
        <w:tc>
          <w:tcPr>
            <w:tcW w:w="1985" w:type="dxa"/>
            <w:gridSpan w:val="3"/>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本科生</w:t>
            </w:r>
          </w:p>
        </w:tc>
        <w:tc>
          <w:tcPr>
            <w:tcW w:w="1061"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硕士生</w:t>
            </w:r>
          </w:p>
        </w:tc>
        <w:tc>
          <w:tcPr>
            <w:tcW w:w="1725" w:type="dxa"/>
            <w:gridSpan w:val="5"/>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博士生</w:t>
            </w:r>
          </w:p>
        </w:tc>
        <w:tc>
          <w:tcPr>
            <w:tcW w:w="1343"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其他学历形式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29" w:type="dxa"/>
            <w:vMerge w:val="continue"/>
            <w:vAlign w:val="center"/>
          </w:tcPr>
          <w:p>
            <w:pPr>
              <w:spacing w:line="300" w:lineRule="exact"/>
              <w:jc w:val="center"/>
              <w:rPr>
                <w:rFonts w:ascii="仿宋" w:hAnsi="仿宋" w:eastAsia="仿宋" w:cs="仿宋"/>
                <w:kern w:val="0"/>
                <w:sz w:val="24"/>
                <w:szCs w:val="24"/>
              </w:rPr>
            </w:pPr>
          </w:p>
        </w:tc>
        <w:tc>
          <w:tcPr>
            <w:tcW w:w="812"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学生数</w:t>
            </w:r>
          </w:p>
        </w:tc>
        <w:tc>
          <w:tcPr>
            <w:tcW w:w="1299"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3415</w:t>
            </w:r>
          </w:p>
        </w:tc>
        <w:tc>
          <w:tcPr>
            <w:tcW w:w="1985" w:type="dxa"/>
            <w:gridSpan w:val="3"/>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3415</w:t>
            </w:r>
          </w:p>
        </w:tc>
        <w:tc>
          <w:tcPr>
            <w:tcW w:w="1061"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725" w:type="dxa"/>
            <w:gridSpan w:val="5"/>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343"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29" w:type="dxa"/>
            <w:vMerge w:val="continue"/>
            <w:vAlign w:val="center"/>
          </w:tcPr>
          <w:p>
            <w:pPr>
              <w:spacing w:line="300" w:lineRule="exact"/>
              <w:jc w:val="center"/>
              <w:rPr>
                <w:rFonts w:ascii="仿宋" w:hAnsi="仿宋" w:eastAsia="仿宋" w:cs="仿宋"/>
                <w:kern w:val="0"/>
                <w:sz w:val="24"/>
                <w:szCs w:val="24"/>
              </w:rPr>
            </w:pPr>
          </w:p>
        </w:tc>
        <w:tc>
          <w:tcPr>
            <w:tcW w:w="812"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占总人数比例</w:t>
            </w:r>
          </w:p>
        </w:tc>
        <w:tc>
          <w:tcPr>
            <w:tcW w:w="1299" w:type="dxa"/>
            <w:gridSpan w:val="2"/>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100%</w:t>
            </w:r>
          </w:p>
        </w:tc>
        <w:tc>
          <w:tcPr>
            <w:tcW w:w="1985" w:type="dxa"/>
            <w:gridSpan w:val="3"/>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100%</w:t>
            </w:r>
          </w:p>
        </w:tc>
        <w:tc>
          <w:tcPr>
            <w:tcW w:w="1061"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725" w:type="dxa"/>
            <w:gridSpan w:val="5"/>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343" w:type="dxa"/>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054" w:type="dxa"/>
            <w:gridSpan w:val="15"/>
            <w:vAlign w:val="center"/>
          </w:tcPr>
          <w:p>
            <w:pPr>
              <w:spacing w:line="300" w:lineRule="exact"/>
              <w:jc w:val="center"/>
              <w:rPr>
                <w:rFonts w:ascii="仿宋" w:hAnsi="仿宋" w:eastAsia="仿宋" w:cs="仿宋"/>
                <w:kern w:val="0"/>
                <w:sz w:val="24"/>
                <w:szCs w:val="24"/>
              </w:rPr>
            </w:pPr>
            <w:r>
              <w:rPr>
                <w:rFonts w:hint="eastAsia" w:ascii="仿宋" w:hAnsi="仿宋" w:eastAsia="仿宋" w:cs="仿宋"/>
                <w:kern w:val="0"/>
                <w:sz w:val="24"/>
                <w:szCs w:val="24"/>
              </w:rPr>
              <w:t>产业学院专任教师简表（见附表）</w:t>
            </w:r>
          </w:p>
        </w:tc>
      </w:tr>
    </w:tbl>
    <w:p>
      <w:pPr>
        <w:rPr>
          <w:rFonts w:ascii="黑体" w:hAnsi="黑体" w:eastAsia="黑体" w:cs="黑体"/>
          <w:sz w:val="32"/>
          <w:szCs w:val="32"/>
        </w:rPr>
      </w:pPr>
      <w:r>
        <w:rPr>
          <w:rFonts w:hint="eastAsia" w:ascii="黑体" w:hAnsi="黑体" w:eastAsia="黑体" w:cs="黑体"/>
          <w:sz w:val="32"/>
          <w:szCs w:val="32"/>
        </w:rPr>
        <w:t>二、建设举措及成效</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（一）多主体协同育人的举措及成效</w:t>
      </w:r>
    </w:p>
    <w:p>
      <w:pPr>
        <w:spacing w:line="560" w:lineRule="exact"/>
        <w:ind w:firstLine="640" w:firstLineChars="200"/>
        <w:rPr>
          <w:rFonts w:hint="eastAsia" w:ascii="仿宋" w:hAnsi="仿宋" w:eastAsia="仿宋"/>
          <w:sz w:val="32"/>
          <w:szCs w:val="32"/>
          <w:lang w:val="zh-CN"/>
        </w:rPr>
      </w:pPr>
      <w:r>
        <w:rPr>
          <w:rFonts w:hint="eastAsia" w:ascii="仿宋" w:hAnsi="仿宋" w:eastAsia="仿宋"/>
          <w:sz w:val="32"/>
          <w:szCs w:val="32"/>
          <w:lang w:val="zh-CN"/>
        </w:rPr>
        <w:t>从提高多方协同育人资源配置效益出发，基于行业地位、就业需求、实践条件、成果转化基础等要素合理筛选合作单位，构建</w:t>
      </w:r>
      <w:r>
        <w:rPr>
          <w:rFonts w:hint="eastAsia" w:ascii="仿宋" w:hAnsi="仿宋" w:eastAsia="仿宋"/>
          <w:sz w:val="32"/>
          <w:szCs w:val="32"/>
        </w:rPr>
        <w:t>了</w:t>
      </w:r>
      <w:r>
        <w:rPr>
          <w:rFonts w:hint="eastAsia" w:ascii="仿宋" w:hAnsi="仿宋" w:eastAsia="仿宋"/>
          <w:sz w:val="32"/>
          <w:szCs w:val="32"/>
          <w:lang w:val="zh-CN"/>
        </w:rPr>
        <w:t>由广西市场监督管理局指导，广西－东盟经济技术开发区及辖区企业、广西科学院、广西－东盟食品检验检测中心、南宁威宁集团及旗下企业、食品工业协会共同参与的协同育人平台。通过企业内循环、利益共享，协同推进多主体间的开放合作，</w:t>
      </w:r>
      <w:r>
        <w:rPr>
          <w:rFonts w:hint="eastAsia" w:ascii="仿宋" w:hAnsi="仿宋" w:eastAsia="仿宋"/>
          <w:sz w:val="32"/>
          <w:szCs w:val="32"/>
        </w:rPr>
        <w:t>以共建</w:t>
      </w:r>
      <w:r>
        <w:rPr>
          <w:rFonts w:hint="eastAsia" w:ascii="仿宋" w:hAnsi="仿宋" w:eastAsia="仿宋"/>
          <w:sz w:val="32"/>
          <w:szCs w:val="32"/>
          <w:lang w:val="zh-CN"/>
        </w:rPr>
        <w:t>课程、共编教材、共享资源、共培师资、共建基地、共研项目、共助就业、共治共管等多种方式开展协同育人。</w:t>
      </w:r>
    </w:p>
    <w:p>
      <w:pPr>
        <w:spacing w:line="560" w:lineRule="exact"/>
        <w:ind w:firstLine="640" w:firstLineChars="200"/>
        <w:rPr>
          <w:rFonts w:hint="eastAsia" w:ascii="仿宋" w:hAnsi="仿宋" w:eastAsia="仿宋"/>
          <w:sz w:val="32"/>
          <w:szCs w:val="32"/>
          <w:lang w:val="en-US"/>
        </w:rPr>
      </w:pPr>
      <w:r>
        <w:rPr>
          <w:rFonts w:hint="eastAsia" w:ascii="仿宋" w:hAnsi="仿宋" w:eastAsia="仿宋"/>
          <w:sz w:val="32"/>
          <w:szCs w:val="32"/>
          <w:lang w:val="en-US"/>
        </w:rPr>
        <w:t>遵循教学内容与产业技术发展衔接、教学过程与生产过程对接的指导原则，多方育人主体共同制定课程标准，丰富案例库、项目库，推动课程内容与行业标准、生产流程、项目开发、职业素养、创新思维等产业需求科学融合。</w:t>
      </w:r>
      <w:r>
        <w:rPr>
          <w:rFonts w:hint="eastAsia" w:ascii="仿宋" w:hAnsi="仿宋" w:eastAsia="仿宋"/>
          <w:sz w:val="32"/>
          <w:szCs w:val="32"/>
          <w:lang w:val="zh-CN"/>
        </w:rPr>
        <w:t>获广西高等教育教学成果奖一等奖</w:t>
      </w:r>
      <w:r>
        <w:rPr>
          <w:rFonts w:hint="eastAsia" w:ascii="仿宋" w:hAnsi="仿宋" w:eastAsia="仿宋"/>
          <w:sz w:val="32"/>
          <w:szCs w:val="32"/>
          <w:lang w:val="en-US"/>
        </w:rPr>
        <w:t>2项、二等奖1项，立项自治区“四新”研究与实践项目1项、区级以上教改项目数量4项、教育部产教协同育人项目3项，入选国家级一流本科课程2门、区级一流本科课程1门，获批自治区级课程思政示范课程1门，立项农业农村部“十四五”规划教材1本，发表专著1部，立项校级示范课程23门。</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1.代表性成果</w:t>
      </w:r>
      <w:r>
        <w:rPr>
          <w:rFonts w:hint="eastAsia" w:eastAsia="仿宋" w:cs="仿宋"/>
          <w:sz w:val="32"/>
          <w:szCs w:val="32"/>
        </w:rPr>
        <w:t>1 ：</w:t>
      </w:r>
      <w:r>
        <w:rPr>
          <w:rFonts w:hint="eastAsia" w:ascii="仿宋" w:hAnsi="仿宋" w:eastAsia="仿宋"/>
          <w:sz w:val="32"/>
          <w:szCs w:val="32"/>
        </w:rPr>
        <w:t>《校致协同,创新质量专业人才培养的探索与实践》、</w:t>
      </w:r>
      <w:r>
        <w:rPr>
          <w:rFonts w:hint="eastAsia" w:ascii="仿宋" w:hAnsi="仿宋" w:eastAsia="仿宋" w:cs="仿宋"/>
          <w:sz w:val="32"/>
          <w:szCs w:val="32"/>
        </w:rPr>
        <w:t>《“双主体、共利益、深融合”产业学院建设的探索实践》</w:t>
      </w:r>
      <w:r>
        <w:rPr>
          <w:rFonts w:hint="eastAsia" w:ascii="仿宋" w:hAnsi="仿宋" w:eastAsia="仿宋"/>
          <w:sz w:val="32"/>
          <w:szCs w:val="32"/>
        </w:rPr>
        <w:t>获广西高等教育自治区级教学成果一等奖、</w:t>
      </w:r>
      <w:r>
        <w:rPr>
          <w:rFonts w:hint="eastAsia" w:ascii="仿宋" w:hAnsi="仿宋" w:eastAsia="仿宋" w:cs="仿宋"/>
          <w:sz w:val="32"/>
          <w:szCs w:val="32"/>
        </w:rPr>
        <w:t>《基于技管合一的“中-高本”食品质量人才培养的探索与实践》获广西职业教育自治区级教学成果二等奖。</w:t>
      </w:r>
    </w:p>
    <w:p>
      <w:pPr>
        <w:spacing w:line="560" w:lineRule="atLeast"/>
        <w:ind w:firstLine="640" w:firstLineChars="200"/>
      </w:pPr>
      <w:r>
        <w:rPr>
          <w:rFonts w:hint="eastAsia" w:ascii="仿宋" w:hAnsi="仿宋" w:eastAsia="仿宋"/>
          <w:sz w:val="32"/>
          <w:szCs w:val="32"/>
        </w:rPr>
        <w:t>成果</w:t>
      </w:r>
      <w:r>
        <w:rPr>
          <w:rFonts w:ascii="仿宋" w:hAnsi="仿宋" w:eastAsia="仿宋"/>
          <w:sz w:val="32"/>
          <w:szCs w:val="32"/>
        </w:rPr>
        <w:t>描述：</w:t>
      </w:r>
      <w:r>
        <w:rPr>
          <w:rFonts w:hint="eastAsia" w:ascii="仿宋" w:hAnsi="仿宋" w:eastAsia="仿宋"/>
          <w:sz w:val="32"/>
          <w:szCs w:val="32"/>
        </w:rPr>
        <w:t>学院确定以产教融合作为提高人才培养质量的基本方向，经过探索与实践，</w:t>
      </w:r>
      <w:r>
        <w:rPr>
          <w:rFonts w:hint="eastAsia" w:ascii="仿宋" w:hAnsi="仿宋" w:eastAsia="仿宋" w:cs="仿宋"/>
          <w:sz w:val="32"/>
          <w:szCs w:val="32"/>
        </w:rPr>
        <w:t>重构了应用型人才培养模式与流程，形成了“产业引领、行业协同、管技合一”的质量专业人才培养模式，创建了基于教学链与岗位链相衔接的实践教学体系，推动政府、高校、企业深度参与食品质量人才的培养全过程。学院与广西质量技术工程学院（广西市场监督管理局下属学校）通过校政一体化合作办学，形成了一个集中职、高职和本科为一体的混合制合作办学实体，打造了质量特色鲜明的中-高-本食品专业群，以能力产出为导向，构建以专业基础知识和技术为支撑，以检验检测技能为核心，质量技术要素和管理技能融合渗透的中-高-本有序衔接的专业课程体系，实现课程内容有序衔接、层次递进，提升课程有效性和适应性。</w:t>
      </w:r>
    </w:p>
    <w:p>
      <w:pPr>
        <w:spacing w:line="560" w:lineRule="atLeast"/>
        <w:ind w:firstLine="419" w:firstLineChars="131"/>
        <w:rPr>
          <w:rFonts w:ascii="仿宋" w:hAnsi="仿宋" w:eastAsia="仿宋" w:cs="仿宋"/>
          <w:sz w:val="32"/>
          <w:szCs w:val="32"/>
        </w:rPr>
      </w:pPr>
      <w:r>
        <w:rPr>
          <w:rFonts w:hint="eastAsia" w:ascii="仿宋" w:hAnsi="仿宋" w:eastAsia="仿宋" w:cs="仿宋"/>
          <w:sz w:val="32"/>
          <w:szCs w:val="32"/>
        </w:rPr>
        <w:t>2.代表性成果2：《食品质量与安全专业跨学科融合的新工科建设实践》立项广西新工科研究与实践项目、《食品质量与安全现代产业学院协同育人模式的探索与实践》立项广西高等教育本科教学改革工程重点项目。</w:t>
      </w:r>
    </w:p>
    <w:p>
      <w:pPr>
        <w:tabs>
          <w:tab w:val="left" w:pos="640"/>
        </w:tabs>
        <w:spacing w:line="560" w:lineRule="exact"/>
        <w:ind w:firstLine="640" w:firstLineChars="200"/>
        <w:rPr>
          <w:rFonts w:ascii="仿宋" w:hAnsi="仿宋" w:eastAsia="仿宋"/>
          <w:sz w:val="32"/>
          <w:szCs w:val="32"/>
        </w:rPr>
      </w:pPr>
      <w:r>
        <w:rPr>
          <w:rFonts w:ascii="仿宋" w:hAnsi="仿宋" w:eastAsia="仿宋"/>
          <w:sz w:val="32"/>
          <w:szCs w:val="32"/>
        </w:rPr>
        <w:t>成果描述：</w:t>
      </w:r>
      <w:r>
        <w:rPr>
          <w:rFonts w:hint="eastAsia" w:ascii="仿宋" w:hAnsi="仿宋" w:eastAsia="仿宋"/>
          <w:sz w:val="32"/>
          <w:szCs w:val="32"/>
        </w:rPr>
        <w:t>项目探索通过建立开放共享、多学科交叉融合的产学研协同育人平台，完善协同育人长效机制，构建食品专业技术功底深厚、质量管理特色显著的跨学科交叉融合的课程体系，搭建校内外四位一体的多场景交融、多领域交叉、层次递进的实践教学体系，培养“有技术、懂质量、会管理、强应用”的复合型、创新型人才。</w:t>
      </w:r>
    </w:p>
    <w:p>
      <w:pPr>
        <w:spacing w:line="560" w:lineRule="exact"/>
        <w:rPr>
          <w:rFonts w:ascii="仿宋" w:hAnsi="仿宋" w:eastAsia="仿宋"/>
          <w:sz w:val="32"/>
          <w:szCs w:val="32"/>
        </w:rPr>
      </w:pPr>
      <w:r>
        <w:rPr>
          <w:rFonts w:hint="eastAsia" w:ascii="仿宋" w:hAnsi="仿宋" w:eastAsia="仿宋"/>
          <w:sz w:val="32"/>
          <w:szCs w:val="32"/>
        </w:rPr>
        <w:t xml:space="preserve">    3.</w:t>
      </w:r>
      <w:r>
        <w:rPr>
          <w:rFonts w:hint="eastAsia" w:ascii="仿宋" w:hAnsi="仿宋" w:eastAsia="仿宋" w:cs="仿宋"/>
          <w:sz w:val="32"/>
          <w:szCs w:val="32"/>
        </w:rPr>
        <w:t>代表性成果3：</w:t>
      </w:r>
      <w:r>
        <w:rPr>
          <w:rFonts w:hint="eastAsia" w:ascii="仿宋" w:hAnsi="仿宋" w:eastAsia="仿宋"/>
          <w:sz w:val="32"/>
          <w:szCs w:val="32"/>
        </w:rPr>
        <w:t>《传承英雄正气新体验》、《创新创业基础》入选国家级一流本科课程。</w:t>
      </w:r>
    </w:p>
    <w:p>
      <w:pPr>
        <w:spacing w:line="560" w:lineRule="exact"/>
        <w:ind w:firstLine="640" w:firstLineChars="200"/>
        <w:rPr>
          <w:rFonts w:ascii="仿宋" w:hAnsi="仿宋" w:eastAsia="仿宋"/>
          <w:sz w:val="32"/>
          <w:szCs w:val="32"/>
        </w:rPr>
      </w:pPr>
      <w:r>
        <w:rPr>
          <w:rFonts w:ascii="仿宋" w:hAnsi="仿宋" w:eastAsia="仿宋"/>
          <w:sz w:val="32"/>
          <w:szCs w:val="32"/>
        </w:rPr>
        <w:t>成果描述</w:t>
      </w:r>
      <w:r>
        <w:rPr>
          <w:rFonts w:hint="eastAsia" w:ascii="仿宋" w:hAnsi="仿宋" w:eastAsia="仿宋"/>
          <w:sz w:val="32"/>
          <w:szCs w:val="32"/>
        </w:rPr>
        <w:t>：《传承英雄正气新体验》课程以英雄正气主题的研究与实践为依托，以走进英雄、记录英雄、传播英雄和关爱英雄为主题实践活动，以校内外实践教学基地为载体，以实地考察、调研报告、情景展示、主题创作等为主要形式，在感悟与传承英雄的爱国情怀、民族气节、英雄气概和必胜信念的过程中，引导学生树立正确的世界观、人生观、价值观。《创新创业基础》按照学生认识和学习的规律，以创新创业项目为依托，培养学生敬业精神、创新精神，提升学生创业能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4.代表性成果4 ：《食品安全控制》入选农业农村部“十四五”规划教材。</w:t>
      </w:r>
    </w:p>
    <w:p>
      <w:pPr>
        <w:spacing w:line="560" w:lineRule="exact"/>
        <w:ind w:firstLine="640" w:firstLineChars="200"/>
        <w:rPr>
          <w:rFonts w:ascii="仿宋" w:hAnsi="仿宋" w:eastAsia="仿宋"/>
          <w:sz w:val="32"/>
          <w:szCs w:val="32"/>
        </w:rPr>
      </w:pPr>
      <w:r>
        <w:rPr>
          <w:rFonts w:ascii="仿宋" w:hAnsi="仿宋" w:eastAsia="仿宋"/>
          <w:sz w:val="32"/>
          <w:szCs w:val="32"/>
        </w:rPr>
        <w:t>成果描述</w:t>
      </w:r>
      <w:r>
        <w:rPr>
          <w:rFonts w:hint="eastAsia" w:ascii="仿宋" w:hAnsi="仿宋" w:eastAsia="仿宋"/>
          <w:sz w:val="32"/>
          <w:szCs w:val="32"/>
        </w:rPr>
        <w:t>：教材根据岗位工作任务需要，依据国际、国内技术规范、安全指南，按照任务驱动教学设置教学内容和学习任务，并通过知识链接系统实现知识的拓展，符合应用型高校需求。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5.代表性成果5：著作《国家质量基础设施概论》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成果描述：依托“中国质量研究与教育（南宁）基地/中国-东盟质量研究与教育中心”，组织质量发展研究专家编著《国家质量基础设施概论》，2022年8月由中国质量标准出版传媒有限公司出版发行。此书得到了国家市场监管总局发展研究中心，中国质量研究与教育联盟各高校、科研院所的同行和专家的充分肯定.</w:t>
      </w:r>
    </w:p>
    <w:p>
      <w:pPr>
        <w:spacing w:line="560" w:lineRule="atLeast"/>
        <w:ind w:firstLine="640" w:firstLineChars="200"/>
        <w:rPr>
          <w:rFonts w:ascii="仿宋" w:hAnsi="仿宋" w:eastAsia="仿宋" w:cs="仿宋"/>
          <w:sz w:val="32"/>
          <w:szCs w:val="32"/>
          <w:lang w:val="zh-CN"/>
        </w:rPr>
      </w:pPr>
      <w:r>
        <w:rPr>
          <w:rFonts w:hint="eastAsia" w:ascii="仿宋" w:hAnsi="仿宋" w:eastAsia="仿宋" w:cs="仿宋"/>
          <w:sz w:val="32"/>
          <w:szCs w:val="32"/>
        </w:rPr>
        <w:t>（二）面向产业</w:t>
      </w:r>
      <w:r>
        <w:rPr>
          <w:rFonts w:hint="eastAsia" w:ascii="仿宋" w:hAnsi="仿宋" w:eastAsia="仿宋" w:cs="仿宋"/>
          <w:sz w:val="32"/>
          <w:szCs w:val="32"/>
          <w:lang w:val="zh-CN"/>
        </w:rPr>
        <w:t>构建高水平学科专业体系的举措及成效</w:t>
      </w:r>
    </w:p>
    <w:p>
      <w:pPr>
        <w:spacing w:line="560" w:lineRule="atLeast"/>
        <w:ind w:firstLine="640" w:firstLineChars="200"/>
        <w:rPr>
          <w:rFonts w:eastAsia="仿宋" w:cs="仿宋"/>
          <w:sz w:val="32"/>
          <w:szCs w:val="32"/>
        </w:rPr>
      </w:pPr>
      <w:r>
        <w:rPr>
          <w:rFonts w:hint="eastAsia" w:eastAsia="仿宋" w:cs="仿宋"/>
          <w:sz w:val="32"/>
          <w:szCs w:val="32"/>
        </w:rPr>
        <w:t>以食品质量与安全、质量管理工程专业为核心，将贯穿食品产业全链条的标准化、认证认可等质量管理能力融入食品人才培养全过程。打破学科壁垒，将机械设计制造及其自动化、工商管理、市场营销、物流工程、视觉传达设计专业作为共建专业，形成食品专业链，促进食品产业专业群集群式发展上台阶。</w:t>
      </w:r>
    </w:p>
    <w:p>
      <w:pPr>
        <w:spacing w:line="600" w:lineRule="exact"/>
        <w:ind w:firstLine="640" w:firstLineChars="200"/>
        <w:rPr>
          <w:rFonts w:eastAsia="仿宋" w:cs="仿宋"/>
          <w:sz w:val="32"/>
          <w:szCs w:val="32"/>
        </w:rPr>
      </w:pPr>
      <w:r>
        <w:rPr>
          <w:rFonts w:hint="eastAsia" w:eastAsia="仿宋" w:cs="仿宋"/>
          <w:sz w:val="32"/>
          <w:szCs w:val="32"/>
        </w:rPr>
        <w:t>为贯彻</w:t>
      </w:r>
      <w:r>
        <w:rPr>
          <w:rFonts w:eastAsia="仿宋" w:cs="仿宋"/>
          <w:sz w:val="32"/>
          <w:szCs w:val="32"/>
        </w:rPr>
        <w:t>《“健康中国2030”规划纲要》</w:t>
      </w:r>
      <w:r>
        <w:rPr>
          <w:rFonts w:hint="eastAsia" w:eastAsia="仿宋" w:cs="仿宋"/>
          <w:sz w:val="32"/>
          <w:szCs w:val="32"/>
        </w:rPr>
        <w:t>，满足广西“十四五”建设健康食品千百亿工程的需求，申报并获批“食品营养与健康专业”，填补区内空白；食品质量与安全经过5年产教融合协同育人的探索，获批立项民办优势特色专业；立项自治区职业教育专业教学资源库项目1项。</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1.代表性成果</w:t>
      </w:r>
      <w:r>
        <w:rPr>
          <w:rFonts w:hint="eastAsia" w:eastAsia="仿宋" w:cs="仿宋"/>
          <w:sz w:val="32"/>
          <w:szCs w:val="32"/>
        </w:rPr>
        <w:t xml:space="preserve">1： </w:t>
      </w:r>
      <w:r>
        <w:rPr>
          <w:rFonts w:hint="eastAsia" w:ascii="仿宋" w:hAnsi="仿宋" w:eastAsia="仿宋" w:cs="仿宋"/>
          <w:sz w:val="32"/>
          <w:szCs w:val="32"/>
        </w:rPr>
        <w:t>广西首个“食品营养与健康”专业获批。</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成果描述：与南宁威耀集采集配供应链管理有限公司（该公司承担南宁市超2000所学校（包含教学服务点）的食材配送）共建食品营养与健康专业，培养的“知食品科学、懂食品营养、善健康服务”的高素质应用型人才，能在食品供应链各个领域从事与营养健康相关的营养指导、健康教育、资源开发、生产技术管理等方面工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2.代表性成果</w:t>
      </w:r>
      <w:r>
        <w:rPr>
          <w:rFonts w:hint="eastAsia" w:eastAsia="仿宋" w:cs="仿宋"/>
          <w:sz w:val="32"/>
          <w:szCs w:val="32"/>
        </w:rPr>
        <w:t>2：食品质量与安全专业获批立项广西民办优势特色专业建设点。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成果描述：以食品质量与安全现代产业学院建设为载体，形成校政企园协五位一体的协同育人运行机制，建立紧密对接产业链、创新链的课程体系，建设结构合理、功能互补的产、学、研、转、创、用教学科研平台及校内开放共享的学生创新创业基地，打造一支由企业参与的高水平专业教学团队，为广西食品高质量发展培养高素质的应用型、复合型、创新型人才。</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代表性成果3： 《食品质量与安全》立项自治区职业教育专业教学资源库项目。</w:t>
      </w:r>
    </w:p>
    <w:p>
      <w:pPr>
        <w:pStyle w:val="6"/>
        <w:spacing w:line="360" w:lineRule="auto"/>
        <w:ind w:left="7" w:firstLine="560" w:firstLineChars="175"/>
        <w:rPr>
          <w:rFonts w:ascii="仿宋" w:hAnsi="仿宋" w:eastAsia="仿宋" w:cs="仿宋"/>
          <w:kern w:val="2"/>
          <w:lang w:val="en-US" w:bidi="ar-SA"/>
        </w:rPr>
      </w:pPr>
      <w:r>
        <w:rPr>
          <w:rFonts w:hint="eastAsia" w:ascii="仿宋" w:hAnsi="仿宋" w:eastAsia="仿宋" w:cs="仿宋"/>
          <w:kern w:val="2"/>
          <w:lang w:val="en-US" w:bidi="ar-SA"/>
        </w:rPr>
        <w:t>成果描述：与广西农业职业技术大学，开发制作适合于职业本科、应用型本科的专业教学资源库，将职业技能等级标准和技能大赛标准融入专业设计及建设、课程设计及开发、教学设计及实施、企业实训及生产、虚拟仿真等数字化资源，形成专业资源、课程资源、实训资源、考核习题、培训认证、企业案例和媒体素材7大资源库，实现教师、学生、企业、社会学习者四类用户的自主学习。</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代表性成果</w:t>
      </w:r>
      <w:r>
        <w:rPr>
          <w:rFonts w:ascii="仿宋" w:hAnsi="仿宋" w:eastAsia="仿宋" w:cs="仿宋"/>
          <w:sz w:val="32"/>
          <w:szCs w:val="32"/>
        </w:rPr>
        <w:t>4</w:t>
      </w:r>
      <w:r>
        <w:rPr>
          <w:rFonts w:hint="eastAsia" w:ascii="仿宋" w:hAnsi="仿宋" w:eastAsia="仿宋" w:cs="仿宋"/>
          <w:sz w:val="32"/>
          <w:szCs w:val="32"/>
        </w:rPr>
        <w:t>：质量管理与认证、质量管理工程两专业列入《高等教育自学考试开考专业》。</w:t>
      </w:r>
    </w:p>
    <w:p>
      <w:pPr>
        <w:pStyle w:val="6"/>
        <w:spacing w:line="360" w:lineRule="auto"/>
        <w:ind w:left="7" w:firstLine="560" w:firstLineChars="175"/>
        <w:rPr>
          <w:rFonts w:ascii="仿宋" w:hAnsi="仿宋" w:eastAsia="仿宋" w:cs="仿宋"/>
        </w:rPr>
      </w:pPr>
      <w:r>
        <w:rPr>
          <w:rFonts w:hint="eastAsia" w:ascii="仿宋" w:hAnsi="仿宋" w:eastAsia="仿宋" w:cs="仿宋"/>
          <w:kern w:val="2"/>
          <w:lang w:val="en-US" w:bidi="ar-SA"/>
        </w:rPr>
        <w:t>成果描述：为服务质量强国建设，加强质量人才培养，在国家市场家督监督管理局的指导下，学院专家参与</w:t>
      </w:r>
      <w:r>
        <w:rPr>
          <w:rFonts w:hint="eastAsia" w:ascii="仿宋" w:hAnsi="仿宋" w:eastAsia="仿宋" w:cs="仿宋"/>
        </w:rPr>
        <w:t>质量管理与认证、质量管理工程两个高等教育自学考试专业规范、教材的编写，南宁学院作为广西唯一主考院校。</w:t>
      </w:r>
    </w:p>
    <w:p>
      <w:pPr>
        <w:spacing w:line="56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（三）深化产学研合作服务产业发展的举措及成效</w:t>
      </w:r>
    </w:p>
    <w:p>
      <w:pPr>
        <w:spacing w:line="56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以广西特色食品产业高端化、智能化、绿色化发展为牵引，以广西优势特色食品安全风险识别和控制为重点，联合南宁威宁投资集团、广西－东盟经济技术开发区等共建单位，共同打造兼具生产、教学、研发、创新创业功能的产学研创服务平台，依托平台孵化项目、申报项目、推动成果转化，将真实案例、项目、技术融入人才培养。</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lang w:val="zh-CN"/>
        </w:rPr>
        <w:t>立项</w:t>
      </w:r>
      <w:r>
        <w:rPr>
          <w:rFonts w:hint="eastAsia" w:ascii="仿宋" w:hAnsi="仿宋" w:eastAsia="仿宋" w:cs="仿宋"/>
          <w:sz w:val="32"/>
          <w:szCs w:val="32"/>
        </w:rPr>
        <w:t>广西科技基地和人才专项1项、广西科技计划项目重点研发项目、广西工程研究中心1项，广西自然科学基金</w:t>
      </w:r>
      <w:r>
        <w:rPr>
          <w:rFonts w:ascii="仿宋" w:hAnsi="仿宋" w:eastAsia="仿宋" w:cs="仿宋"/>
          <w:sz w:val="32"/>
          <w:szCs w:val="32"/>
        </w:rPr>
        <w:t>2</w:t>
      </w:r>
      <w:r>
        <w:rPr>
          <w:rFonts w:hint="eastAsia" w:ascii="仿宋" w:hAnsi="仿宋" w:eastAsia="仿宋" w:cs="仿宋"/>
          <w:sz w:val="32"/>
          <w:szCs w:val="32"/>
        </w:rPr>
        <w:t>项、广西青年科学基金1项，广西</w:t>
      </w:r>
      <w:r>
        <w:rPr>
          <w:rFonts w:hint="eastAsia" w:ascii="仿宋" w:hAnsi="仿宋" w:eastAsia="仿宋" w:cs="仿宋"/>
          <w:sz w:val="32"/>
          <w:szCs w:val="32"/>
          <w:lang w:val="zh-CN"/>
        </w:rPr>
        <w:t>地方标准5项，被采纳咨询决策</w:t>
      </w:r>
      <w:r>
        <w:rPr>
          <w:rFonts w:hint="eastAsia" w:ascii="仿宋" w:hAnsi="仿宋" w:eastAsia="仿宋" w:cs="仿宋"/>
          <w:sz w:val="32"/>
          <w:szCs w:val="32"/>
        </w:rPr>
        <w:t>1项；立项横向课题35项，进校经费360万元；发表SCI论文8篇、EI论文1篇，中文核心论文6篇；授权发明专利27项。</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代表性成果</w:t>
      </w:r>
      <w:r>
        <w:rPr>
          <w:rFonts w:ascii="仿宋" w:hAnsi="仿宋" w:eastAsia="仿宋" w:cs="仿宋"/>
          <w:sz w:val="32"/>
          <w:szCs w:val="32"/>
        </w:rPr>
        <w:t>1</w:t>
      </w:r>
      <w:r>
        <w:rPr>
          <w:rFonts w:hint="eastAsia" w:ascii="仿宋" w:hAnsi="仿宋" w:eastAsia="仿宋" w:cs="仿宋"/>
          <w:sz w:val="32"/>
          <w:szCs w:val="32"/>
        </w:rPr>
        <w:t>：《六堡茶及其深加工产品质量标准提升》立项2</w:t>
      </w:r>
      <w:r>
        <w:rPr>
          <w:rFonts w:ascii="仿宋" w:hAnsi="仿宋" w:eastAsia="仿宋" w:cs="仿宋"/>
          <w:sz w:val="32"/>
          <w:szCs w:val="32"/>
        </w:rPr>
        <w:t>023</w:t>
      </w:r>
      <w:r>
        <w:rPr>
          <w:rFonts w:hint="eastAsia" w:ascii="仿宋" w:hAnsi="仿宋" w:eastAsia="仿宋" w:cs="仿宋"/>
          <w:sz w:val="32"/>
          <w:szCs w:val="32"/>
        </w:rPr>
        <w:t>年广西科技计划项目重点研发项目。</w:t>
      </w:r>
    </w:p>
    <w:p>
      <w:pPr>
        <w:tabs>
          <w:tab w:val="left" w:pos="640"/>
        </w:tabs>
        <w:spacing w:line="560" w:lineRule="exact"/>
        <w:ind w:firstLine="640" w:firstLineChars="200"/>
        <w:rPr>
          <w:rFonts w:ascii="仿宋" w:hAnsi="仿宋" w:eastAsia="仿宋" w:cs="仿宋"/>
          <w:sz w:val="32"/>
          <w:szCs w:val="32"/>
        </w:rPr>
      </w:pPr>
      <w:r>
        <w:rPr>
          <w:rFonts w:ascii="仿宋" w:hAnsi="仿宋" w:eastAsia="仿宋" w:cs="仿宋"/>
          <w:sz w:val="32"/>
          <w:szCs w:val="32"/>
        </w:rPr>
        <w:t>成果描述：项目对六堡茶及其深加工产品的现有质量标准进行提升，采用宏基因组测序分析技术对六堡茶微生物菌群展开研究，利用宏基因组测序技术对其中的微生物菌群结构及功能进行解析，挖掘六堡茶中的微生物及基因资源，从基因水平上研究不同发酵方式及仓储环境下微生物群落构成的差异性，探索影响六堡茶微生物群落中与风味物质形成相关的关键菌属及代谢酶系，全面理解六堡茶微生物群落的代谢机理和对风味物质组分的影响；以及增加检测六堡茶深加工产品的重金属及农残含量，保障食品安全。</w:t>
      </w:r>
    </w:p>
    <w:p>
      <w:pPr>
        <w:spacing w:line="560" w:lineRule="atLeas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.代表性成果</w:t>
      </w:r>
      <w:r>
        <w:rPr>
          <w:rFonts w:ascii="仿宋" w:hAnsi="仿宋" w:eastAsia="仿宋" w:cs="仿宋"/>
          <w:sz w:val="32"/>
          <w:szCs w:val="32"/>
        </w:rPr>
        <w:t>2</w:t>
      </w:r>
      <w:r>
        <w:rPr>
          <w:rFonts w:hint="eastAsia" w:ascii="仿宋" w:hAnsi="仿宋" w:eastAsia="仿宋" w:cs="仿宋"/>
          <w:sz w:val="32"/>
          <w:szCs w:val="32"/>
        </w:rPr>
        <w:t>：《广西壮族自治区优势特色水产品加工与储藏工程研究中心》获批立项。</w:t>
      </w:r>
    </w:p>
    <w:p>
      <w:pPr>
        <w:spacing w:line="560" w:lineRule="atLeast"/>
        <w:ind w:firstLine="640" w:firstLineChars="200"/>
        <w:rPr>
          <w:rFonts w:ascii="仿宋" w:hAnsi="仿宋" w:eastAsia="仿宋" w:cs="仿宋"/>
          <w:color w:val="0070C0"/>
          <w:sz w:val="32"/>
          <w:szCs w:val="32"/>
        </w:rPr>
      </w:pPr>
      <w:r>
        <w:rPr>
          <w:rFonts w:hint="eastAsia" w:ascii="仿宋" w:hAnsi="仿宋" w:eastAsia="仿宋" w:cs="仿宋"/>
          <w:sz w:val="32"/>
          <w:szCs w:val="32"/>
        </w:rPr>
        <w:t>成果描述：</w:t>
      </w:r>
      <w:r>
        <w:rPr>
          <w:rFonts w:hint="eastAsia" w:eastAsia="仿宋" w:cs="仿宋"/>
          <w:sz w:val="32"/>
          <w:szCs w:val="32"/>
        </w:rPr>
        <w:t>与广西壮族自治区水产科学研究院、广西壮族自治区农业科学院、中国农业大学、华中农业大学、广西禄驰农业投资有限公司、广西小研人生物科技有限公司共同建设广西壮族自治区优势特色水产品加工与贮藏工程研究中心，在水产品精深加工技术、流通贮藏技术、副产物高值化利用技术、质量安全控制技术等领域开展科技攻关与应用开展合作，为我区水产品加工产业可持续健康发展提供技术保障。</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3.代表性成果3： 广西地方标准《广西预制菜加工操作规范》立项。</w:t>
      </w:r>
    </w:p>
    <w:p>
      <w:pPr>
        <w:tabs>
          <w:tab w:val="left" w:pos="640"/>
        </w:tabs>
        <w:spacing w:line="560" w:lineRule="exact"/>
        <w:ind w:firstLine="640" w:firstLineChars="200"/>
        <w:rPr>
          <w:rFonts w:ascii="仿宋" w:hAnsi="仿宋" w:eastAsia="仿宋" w:cs="仿宋"/>
          <w:sz w:val="32"/>
          <w:szCs w:val="32"/>
        </w:rPr>
      </w:pPr>
      <w:r>
        <w:rPr>
          <w:rFonts w:ascii="仿宋" w:hAnsi="仿宋" w:eastAsia="仿宋" w:cs="仿宋"/>
          <w:sz w:val="32"/>
          <w:szCs w:val="32"/>
        </w:rPr>
        <w:t>成果描述：</w:t>
      </w:r>
      <w:r>
        <w:rPr>
          <w:rFonts w:hint="eastAsia" w:ascii="仿宋" w:hAnsi="仿宋" w:eastAsia="仿宋" w:cs="仿宋"/>
          <w:sz w:val="32"/>
          <w:szCs w:val="32"/>
        </w:rPr>
        <w:t>针对</w:t>
      </w:r>
      <w:r>
        <w:rPr>
          <w:rFonts w:ascii="仿宋" w:hAnsi="仿宋" w:eastAsia="仿宋" w:cs="仿宋"/>
          <w:sz w:val="32"/>
          <w:szCs w:val="32"/>
        </w:rPr>
        <w:t>预制菜产业链长、环节多</w:t>
      </w:r>
      <w:r>
        <w:rPr>
          <w:rFonts w:hint="eastAsia" w:ascii="仿宋" w:hAnsi="仿宋" w:eastAsia="仿宋" w:cs="仿宋"/>
          <w:sz w:val="32"/>
          <w:szCs w:val="32"/>
        </w:rPr>
        <w:t>、食品</w:t>
      </w:r>
      <w:r>
        <w:rPr>
          <w:rFonts w:ascii="仿宋" w:hAnsi="仿宋" w:eastAsia="仿宋" w:cs="仿宋"/>
          <w:sz w:val="32"/>
          <w:szCs w:val="32"/>
        </w:rPr>
        <w:t>安全控制风险点</w:t>
      </w:r>
      <w:r>
        <w:rPr>
          <w:rFonts w:hint="eastAsia" w:ascii="仿宋" w:hAnsi="仿宋" w:eastAsia="仿宋" w:cs="仿宋"/>
          <w:sz w:val="32"/>
          <w:szCs w:val="32"/>
        </w:rPr>
        <w:t>多等问题，牵头与广西市场监督管理局、广西标准技术研究院、南宁职业技术学院、广西质量技术工程学校、南宁市龙光生鲜食品科技有限公司等十多家政府机构与企事业单位针对预制菜的分类、预制菜加工企业生产过程中原料采购、加工、包装、贮存和运输等环节的基本要求和管理准则制定标准，助力</w:t>
      </w:r>
      <w:r>
        <w:rPr>
          <w:rFonts w:ascii="仿宋" w:hAnsi="仿宋" w:eastAsia="仿宋" w:cs="仿宋"/>
          <w:sz w:val="32"/>
          <w:szCs w:val="32"/>
        </w:rPr>
        <w:t>广西预制菜生产行业实现高质量发展</w:t>
      </w:r>
      <w:r>
        <w:rPr>
          <w:rFonts w:hint="eastAsia" w:ascii="仿宋" w:hAnsi="仿宋" w:eastAsia="仿宋" w:cs="仿宋"/>
          <w:sz w:val="32"/>
          <w:szCs w:val="32"/>
        </w:rPr>
        <w:t>。</w:t>
      </w:r>
    </w:p>
    <w:p>
      <w:pPr>
        <w:tabs>
          <w:tab w:val="left" w:pos="640"/>
        </w:tabs>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4.代表性成果4： 《芒果核鞣花酸抗炎作用及分子机制》立项广西自然科学基金（面上项目）、</w:t>
      </w:r>
    </w:p>
    <w:p>
      <w:pPr>
        <w:tabs>
          <w:tab w:val="left" w:pos="640"/>
        </w:tabs>
        <w:spacing w:line="560" w:lineRule="exact"/>
        <w:ind w:firstLine="640" w:firstLineChars="200"/>
        <w:rPr>
          <w:rFonts w:ascii="仿宋" w:hAnsi="仿宋" w:eastAsia="仿宋" w:cs="仿宋"/>
          <w:sz w:val="32"/>
          <w:szCs w:val="32"/>
        </w:rPr>
      </w:pPr>
      <w:r>
        <w:rPr>
          <w:rFonts w:ascii="仿宋" w:hAnsi="仿宋" w:eastAsia="仿宋" w:cs="仿宋"/>
          <w:sz w:val="32"/>
          <w:szCs w:val="32"/>
        </w:rPr>
        <w:t>成果描述：项目</w:t>
      </w:r>
      <w:r>
        <w:rPr>
          <w:rFonts w:hint="eastAsia" w:ascii="仿宋" w:hAnsi="仿宋" w:eastAsia="仿宋" w:cs="仿宋"/>
          <w:sz w:val="32"/>
          <w:szCs w:val="32"/>
        </w:rPr>
        <w:t>对</w:t>
      </w:r>
      <w:r>
        <w:rPr>
          <w:rFonts w:ascii="仿宋" w:hAnsi="仿宋" w:eastAsia="仿宋" w:cs="仿宋"/>
          <w:sz w:val="32"/>
          <w:szCs w:val="32"/>
        </w:rPr>
        <w:t>野生酶与正向突变体酶进行晶体结构解析</w:t>
      </w:r>
      <w:r>
        <w:rPr>
          <w:rFonts w:hint="eastAsia" w:ascii="仿宋" w:hAnsi="仿宋" w:eastAsia="仿宋" w:cs="仿宋"/>
          <w:sz w:val="32"/>
          <w:szCs w:val="32"/>
        </w:rPr>
        <w:t>，</w:t>
      </w:r>
      <w:r>
        <w:rPr>
          <w:rFonts w:ascii="仿宋" w:hAnsi="仿宋" w:eastAsia="仿宋" w:cs="仿宋"/>
          <w:sz w:val="32"/>
          <w:szCs w:val="32"/>
        </w:rPr>
        <w:t>并结合酶促反应动力学及热力学测定结果从多角度解释重要氨基酸在维持酶的热稳定性中所起的作用</w:t>
      </w:r>
      <w:r>
        <w:rPr>
          <w:rFonts w:hint="eastAsia" w:ascii="仿宋" w:hAnsi="仿宋" w:eastAsia="仿宋" w:cs="仿宋"/>
          <w:sz w:val="32"/>
          <w:szCs w:val="32"/>
        </w:rPr>
        <w:t>，通过对</w:t>
      </w:r>
      <w:r>
        <w:rPr>
          <w:rFonts w:ascii="仿宋" w:hAnsi="仿宋" w:eastAsia="仿宋" w:cs="仿宋"/>
          <w:sz w:val="32"/>
          <w:szCs w:val="32"/>
        </w:rPr>
        <w:t>可能影响热稳定性的N-端序列及潜在氨基酸位点分别进行截短改造和定点突变</w:t>
      </w:r>
      <w:r>
        <w:rPr>
          <w:rFonts w:hint="eastAsia" w:ascii="仿宋" w:hAnsi="仿宋" w:eastAsia="仿宋" w:cs="仿宋"/>
          <w:sz w:val="32"/>
          <w:szCs w:val="32"/>
        </w:rPr>
        <w:t>，</w:t>
      </w:r>
      <w:r>
        <w:rPr>
          <w:rFonts w:ascii="仿宋" w:hAnsi="仿宋" w:eastAsia="仿宋" w:cs="仿宋"/>
          <w:sz w:val="32"/>
          <w:szCs w:val="32"/>
        </w:rPr>
        <w:t>获得能满足现代高温脱胶工艺催化需求的新型内切聚半乳糖醛酸酶（endo–polygalacturonase, endo–PG）</w:t>
      </w:r>
      <w:r>
        <w:rPr>
          <w:rFonts w:hint="eastAsia" w:ascii="仿宋" w:hAnsi="仿宋" w:eastAsia="仿宋" w:cs="仿宋"/>
          <w:sz w:val="32"/>
          <w:szCs w:val="32"/>
        </w:rPr>
        <w:t>，解决</w:t>
      </w:r>
      <w:r>
        <w:rPr>
          <w:rFonts w:ascii="仿宋" w:hAnsi="仿宋" w:eastAsia="仿宋" w:cs="仿宋"/>
          <w:sz w:val="32"/>
          <w:szCs w:val="32"/>
        </w:rPr>
        <w:t>商业endo–PG稳定性较差</w:t>
      </w:r>
      <w:r>
        <w:rPr>
          <w:rFonts w:hint="eastAsia" w:ascii="仿宋" w:hAnsi="仿宋" w:eastAsia="仿宋" w:cs="仿宋"/>
          <w:sz w:val="32"/>
          <w:szCs w:val="32"/>
        </w:rPr>
        <w:t>、</w:t>
      </w:r>
      <w:r>
        <w:rPr>
          <w:rFonts w:ascii="仿宋" w:hAnsi="仿宋" w:eastAsia="仿宋" w:cs="仿宋"/>
          <w:sz w:val="32"/>
          <w:szCs w:val="32"/>
        </w:rPr>
        <w:t>无法实现脱胶工艺与工业生产热处理环节同步进行</w:t>
      </w:r>
      <w:r>
        <w:rPr>
          <w:rFonts w:hint="eastAsia" w:ascii="仿宋" w:hAnsi="仿宋" w:eastAsia="仿宋" w:cs="仿宋"/>
          <w:sz w:val="32"/>
          <w:szCs w:val="32"/>
        </w:rPr>
        <w:t>的问题</w:t>
      </w:r>
      <w:r>
        <w:rPr>
          <w:rFonts w:ascii="仿宋" w:hAnsi="仿宋" w:eastAsia="仿宋" w:cs="仿宋"/>
          <w:sz w:val="32"/>
          <w:szCs w:val="32"/>
        </w:rPr>
        <w:t>。</w:t>
      </w:r>
    </w:p>
    <w:p>
      <w:pPr>
        <w:tabs>
          <w:tab w:val="left" w:pos="640"/>
        </w:tabs>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5.代表性成果5：《&lt;广西壮族自治区食品小作坊小餐饮和食品摊贩管理条例&gt;及&lt;广西壮族自治区小餐饮登记管理暂行办法&gt;餐饮食品安全监管执行情况和效果评估报告》</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成果描述：</w:t>
      </w:r>
      <w:r>
        <w:rPr>
          <w:rFonts w:hint="eastAsia" w:ascii="仿宋" w:hAnsi="仿宋" w:eastAsia="仿宋" w:cs="仿宋"/>
          <w:sz w:val="32"/>
          <w:szCs w:val="32"/>
        </w:rPr>
        <w:t>受广西市场监督局委托，</w:t>
      </w:r>
      <w:r>
        <w:rPr>
          <w:rFonts w:ascii="仿宋" w:hAnsi="仿宋" w:eastAsia="仿宋" w:cs="仿宋"/>
          <w:sz w:val="32"/>
          <w:szCs w:val="32"/>
        </w:rPr>
        <w:t>对广西7个市及其县、乡的小餐饮单位经营规范落实情况、小餐饮从业者对办证和监管的认可度、小餐饮的登记管理和日常监管情况、全区小餐饮消费者满意度开展调查评估</w:t>
      </w:r>
      <w:r>
        <w:rPr>
          <w:rFonts w:hint="eastAsia" w:ascii="仿宋" w:hAnsi="仿宋" w:eastAsia="仿宋" w:cs="仿宋"/>
          <w:sz w:val="32"/>
          <w:szCs w:val="32"/>
        </w:rPr>
        <w:t>，采用多种数据模型进行分析，形成的报告被广西市场监管局采纳，作为2022年小餐饮监管工作开展的重要依据。</w:t>
      </w:r>
    </w:p>
    <w:p>
      <w:pPr>
        <w:spacing w:line="56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（四）促进校企人才交流加强教师队伍建设的举措及成效</w:t>
      </w:r>
    </w:p>
    <w:p>
      <w:pPr>
        <w:spacing w:line="560" w:lineRule="atLeast"/>
        <w:ind w:firstLine="640" w:firstLineChars="200"/>
        <w:rPr>
          <w:rFonts w:ascii="仿宋" w:hAnsi="仿宋" w:eastAsia="仿宋" w:cs="仿宋"/>
          <w:sz w:val="32"/>
          <w:szCs w:val="32"/>
        </w:rPr>
      </w:pPr>
      <w:r>
        <w:rPr>
          <w:rFonts w:ascii="仿宋" w:hAnsi="仿宋" w:eastAsia="仿宋" w:cs="仿宋"/>
          <w:sz w:val="32"/>
          <w:szCs w:val="32"/>
        </w:rPr>
        <w:t>内培外引相结合，强化课程教学、实习实践、创新创业三支校企合作团队建设，建立校企人才双向通畅流动机制，搭建校外教师实践基地，完善高校教师企业实践、企业教师选聘等评价制度，实现教师理念、技术与行业发展同频共振。</w:t>
      </w:r>
    </w:p>
    <w:p>
      <w:pPr>
        <w:spacing w:line="560" w:lineRule="atLeast"/>
        <w:ind w:firstLine="640" w:firstLineChars="200"/>
        <w:rPr>
          <w:rFonts w:ascii="仿宋" w:hAnsi="仿宋" w:eastAsia="仿宋" w:cs="仿宋"/>
          <w:sz w:val="32"/>
          <w:szCs w:val="32"/>
        </w:rPr>
      </w:pPr>
      <w:r>
        <w:rPr>
          <w:rFonts w:ascii="仿宋" w:hAnsi="仿宋" w:eastAsia="仿宋" w:cs="仿宋"/>
          <w:sz w:val="32"/>
          <w:szCs w:val="32"/>
        </w:rPr>
        <w:t>引进博士3人</w:t>
      </w:r>
      <w:r>
        <w:rPr>
          <w:rFonts w:hint="eastAsia" w:ascii="仿宋" w:hAnsi="仿宋" w:eastAsia="仿宋" w:cs="仿宋"/>
          <w:sz w:val="32"/>
          <w:szCs w:val="32"/>
        </w:rPr>
        <w:t>。</w:t>
      </w:r>
      <w:r>
        <w:rPr>
          <w:rFonts w:hint="eastAsia" w:eastAsia="仿宋" w:cs="仿宋"/>
          <w:sz w:val="32"/>
          <w:szCs w:val="32"/>
        </w:rPr>
        <w:t>柔性引进广西科学院高层次人才4人，在食品精深加工、食品酶工程等领域开展人才培养、科学研究、成果转化方面合作。</w:t>
      </w:r>
      <w:r>
        <w:rPr>
          <w:rFonts w:ascii="仿宋" w:hAnsi="仿宋" w:eastAsia="仿宋" w:cs="仿宋"/>
          <w:sz w:val="32"/>
          <w:szCs w:val="32"/>
        </w:rPr>
        <w:t>聘请校外企业指导教师43人，组织 12 名教师到南宁市场监管局、广西产品质量检验研究院、百威集团（南宁）有限公司等开展社会实践。组织80多人次教师参加教育教学类培训。依托中国质量研究与教育（南宁）基地、南宁市高质量发展大讲堂，完成行业、企业培训9000余人，助力南宁市高质量发展。在广西－东盟经济技术开发区设立教师工作站、博士研究中心，</w:t>
      </w:r>
      <w:r>
        <w:rPr>
          <w:rFonts w:hint="eastAsia" w:ascii="仿宋" w:hAnsi="仿宋" w:eastAsia="仿宋" w:cs="仿宋"/>
          <w:sz w:val="32"/>
          <w:szCs w:val="32"/>
        </w:rPr>
        <w:t>组织11名教师到南宁市市场监督管理局、</w:t>
      </w:r>
      <w:r>
        <w:rPr>
          <w:rFonts w:ascii="仿宋" w:hAnsi="仿宋" w:eastAsia="仿宋" w:cs="仿宋"/>
          <w:sz w:val="32"/>
          <w:szCs w:val="32"/>
        </w:rPr>
        <w:t>广西冰客食品有限公司</w:t>
      </w:r>
      <w:r>
        <w:rPr>
          <w:rFonts w:hint="eastAsia" w:ascii="仿宋" w:hAnsi="仿宋" w:eastAsia="仿宋" w:cs="仿宋"/>
          <w:sz w:val="32"/>
          <w:szCs w:val="32"/>
        </w:rPr>
        <w:t>、百威(南宁)啤酒有限公司等企事业单位实习，</w:t>
      </w:r>
      <w:r>
        <w:rPr>
          <w:rFonts w:ascii="仿宋" w:hAnsi="仿宋" w:eastAsia="仿宋" w:cs="仿宋"/>
          <w:sz w:val="32"/>
          <w:szCs w:val="32"/>
        </w:rPr>
        <w:t>参与企业</w:t>
      </w:r>
      <w:r>
        <w:rPr>
          <w:rFonts w:hint="eastAsia" w:ascii="仿宋" w:hAnsi="仿宋" w:eastAsia="仿宋" w:cs="仿宋"/>
          <w:sz w:val="32"/>
          <w:szCs w:val="32"/>
        </w:rPr>
        <w:t>咨询服务、</w:t>
      </w:r>
      <w:r>
        <w:rPr>
          <w:rFonts w:ascii="仿宋" w:hAnsi="仿宋" w:eastAsia="仿宋" w:cs="仿宋"/>
          <w:sz w:val="32"/>
          <w:szCs w:val="32"/>
        </w:rPr>
        <w:t>技术攻关</w:t>
      </w:r>
      <w:r>
        <w:rPr>
          <w:rFonts w:hint="eastAsia" w:ascii="仿宋" w:hAnsi="仿宋" w:eastAsia="仿宋" w:cs="仿宋"/>
          <w:sz w:val="32"/>
          <w:szCs w:val="32"/>
        </w:rPr>
        <w:t>和项目申报</w:t>
      </w:r>
      <w:r>
        <w:rPr>
          <w:rFonts w:ascii="仿宋" w:hAnsi="仿宋" w:eastAsia="仿宋" w:cs="仿宋"/>
          <w:sz w:val="32"/>
          <w:szCs w:val="32"/>
        </w:rPr>
        <w:t>，促进教师能力提升。</w:t>
      </w:r>
      <w:r>
        <w:rPr>
          <w:rFonts w:hint="eastAsia" w:ascii="仿宋" w:hAnsi="仿宋" w:eastAsia="仿宋" w:cs="仿宋"/>
          <w:sz w:val="32"/>
          <w:szCs w:val="32"/>
        </w:rPr>
        <w:t>广西获批校级“食品质量与安全现代产业学院教学团队”、“食品质量与安全现代产业学院思政教学团队”。</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1.代表性成果1：《广西沃柑高值化利用关键技术研究》立项广西科技基地和人才专项（方向4</w:t>
      </w:r>
      <w:r>
        <w:rPr>
          <w:rFonts w:ascii="仿宋" w:hAnsi="仿宋" w:eastAsia="仿宋" w:cs="仿宋"/>
          <w:sz w:val="32"/>
          <w:szCs w:val="32"/>
        </w:rPr>
        <w:t>8</w:t>
      </w:r>
      <w:r>
        <w:rPr>
          <w:rFonts w:hint="eastAsia" w:ascii="仿宋" w:hAnsi="仿宋" w:eastAsia="仿宋" w:cs="仿宋"/>
          <w:sz w:val="32"/>
          <w:szCs w:val="32"/>
        </w:rPr>
        <w:t>：高层次创新人才和团队培养）。</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成果描述：针对</w:t>
      </w:r>
      <w:r>
        <w:rPr>
          <w:rFonts w:ascii="仿宋" w:hAnsi="仿宋" w:eastAsia="仿宋" w:cs="仿宋"/>
          <w:sz w:val="32"/>
          <w:szCs w:val="32"/>
        </w:rPr>
        <w:t>广西百亿产业沃柑由于副产物综合利用不充分、产业链条不完善、产品附加值低等因素限制了其绿色高质量可持续发展。</w:t>
      </w:r>
      <w:r>
        <w:rPr>
          <w:rFonts w:hint="eastAsia" w:ascii="仿宋" w:hAnsi="仿宋" w:eastAsia="仿宋" w:cs="仿宋"/>
          <w:sz w:val="32"/>
          <w:szCs w:val="32"/>
        </w:rPr>
        <w:t>与广西冰客食品有限公司（广西-东盟经济技术开发区）聚焦沃柑深加工产品质量与安全、沃柑加工副产物高值化利用、沃柑深加工集成性标准化体系3大领域，为广西沃柑产业高质量发展提供技术支撑和示范，实现果农增收，企业增效。</w:t>
      </w:r>
    </w:p>
    <w:p>
      <w:pPr>
        <w:spacing w:line="560" w:lineRule="atLeast"/>
        <w:ind w:firstLine="640" w:firstLineChars="200"/>
        <w:rPr>
          <w:rFonts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.代表性成果</w:t>
      </w:r>
      <w:r>
        <w:rPr>
          <w:rFonts w:eastAsia="仿宋" w:cs="仿宋"/>
          <w:sz w:val="32"/>
          <w:szCs w:val="32"/>
        </w:rPr>
        <w:t>2</w:t>
      </w:r>
      <w:r>
        <w:rPr>
          <w:rFonts w:hint="eastAsia" w:eastAsia="仿宋" w:cs="仿宋"/>
          <w:sz w:val="32"/>
          <w:szCs w:val="32"/>
        </w:rPr>
        <w:t>：《甘蔗渣高效综合利用绿色工艺技术及高产纤维素酶和木聚糖酶工程菌株的研发》立项“邕江计划”青年人才专项。</w:t>
      </w:r>
    </w:p>
    <w:p>
      <w:pPr>
        <w:tabs>
          <w:tab w:val="left" w:pos="640"/>
        </w:tabs>
        <w:spacing w:line="560" w:lineRule="exact"/>
        <w:ind w:firstLine="640" w:firstLineChars="200"/>
        <w:rPr>
          <w:rFonts w:ascii="仿宋" w:hAnsi="仿宋" w:eastAsia="仿宋" w:cs="仿宋"/>
          <w:sz w:val="32"/>
          <w:szCs w:val="32"/>
        </w:rPr>
      </w:pPr>
      <w:r>
        <w:rPr>
          <w:rFonts w:ascii="仿宋" w:hAnsi="仿宋" w:eastAsia="仿宋" w:cs="仿宋"/>
          <w:sz w:val="32"/>
          <w:szCs w:val="32"/>
        </w:rPr>
        <w:t>成果描述：项目“甘蔗渣高效综合利用绿色工艺技术及高产纤维素酶和木聚糖酶工程菌株的研发”拟通过理性设计，运用基因工程和分子育种技术提高真菌的纤维素酶和木聚糖酶产量，然后利用纤维素酶和木聚糖酶酶解“绿色”工艺对榨糖后的甘蔗渣进行高值化综合利用，联产燃料乙醇和低聚木糖。本项目可显著提高甘蔗渣综合利用的经济社会效益。</w:t>
      </w:r>
    </w:p>
    <w:p>
      <w:pPr>
        <w:spacing w:line="560" w:lineRule="atLeast"/>
        <w:ind w:firstLine="640" w:firstLineChars="200"/>
        <w:rPr>
          <w:rFonts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.代表性成果</w:t>
      </w:r>
      <w:r>
        <w:rPr>
          <w:rFonts w:eastAsia="仿宋" w:cs="仿宋"/>
          <w:sz w:val="32"/>
          <w:szCs w:val="32"/>
        </w:rPr>
        <w:t>3</w:t>
      </w:r>
      <w:r>
        <w:rPr>
          <w:rFonts w:hint="eastAsia" w:eastAsia="仿宋" w:cs="仿宋"/>
          <w:sz w:val="32"/>
          <w:szCs w:val="32"/>
        </w:rPr>
        <w:t>： 3名教师担任广西科技特派员，服务农业。</w:t>
      </w:r>
    </w:p>
    <w:p>
      <w:pPr>
        <w:spacing w:line="560" w:lineRule="atLeast"/>
        <w:ind w:firstLine="640" w:firstLineChars="200"/>
        <w:rPr>
          <w:rFonts w:eastAsia="仿宋" w:cs="仿宋"/>
          <w:sz w:val="32"/>
          <w:szCs w:val="32"/>
        </w:rPr>
      </w:pPr>
      <w:r>
        <w:rPr>
          <w:rFonts w:hint="eastAsia" w:eastAsia="仿宋" w:cs="仿宋"/>
          <w:sz w:val="32"/>
          <w:szCs w:val="32"/>
        </w:rPr>
        <w:t>成果描述：科技特派员团队累计现场服务贫困村287次，培训农民100余场次，培训人次约4700，帮助企业获广西农牧渔业丰收奖二等奖1项。</w:t>
      </w:r>
    </w:p>
    <w:p>
      <w:pPr>
        <w:spacing w:line="560" w:lineRule="atLeast"/>
        <w:ind w:firstLine="640" w:firstLineChars="200"/>
        <w:rPr>
          <w:rFonts w:eastAsia="仿宋" w:cs="仿宋"/>
          <w:sz w:val="32"/>
          <w:szCs w:val="32"/>
        </w:rPr>
      </w:pPr>
      <w:r>
        <w:rPr>
          <w:rFonts w:hint="eastAsia" w:eastAsia="仿宋" w:cs="仿宋"/>
          <w:sz w:val="32"/>
          <w:szCs w:val="32"/>
        </w:rPr>
        <w:t>4.</w:t>
      </w:r>
      <w:r>
        <w:rPr>
          <w:rFonts w:eastAsia="仿宋" w:cs="仿宋"/>
          <w:sz w:val="32"/>
          <w:szCs w:val="32"/>
        </w:rPr>
        <w:t xml:space="preserve"> </w:t>
      </w:r>
      <w:r>
        <w:rPr>
          <w:rFonts w:hint="eastAsia" w:eastAsia="仿宋" w:cs="仿宋"/>
          <w:sz w:val="32"/>
          <w:szCs w:val="32"/>
        </w:rPr>
        <w:t>代表性成果4：举办“南宁市高质量发展大讲堂”</w:t>
      </w:r>
    </w:p>
    <w:p>
      <w:pPr>
        <w:spacing w:line="560" w:lineRule="atLeast"/>
        <w:ind w:firstLine="640" w:firstLineChars="200"/>
        <w:rPr>
          <w:rFonts w:ascii="仿宋_GB2312" w:hAnsi="宋体" w:eastAsia="仿宋_GB2312" w:cs="仿宋_GB2312"/>
          <w:color w:val="333333"/>
          <w:sz w:val="31"/>
          <w:szCs w:val="31"/>
          <w:shd w:val="clear" w:color="auto" w:fill="FFFFFF"/>
        </w:rPr>
      </w:pPr>
      <w:r>
        <w:rPr>
          <w:rFonts w:eastAsia="仿宋" w:cs="仿宋"/>
          <w:sz w:val="32"/>
          <w:szCs w:val="32"/>
        </w:rPr>
        <w:t>成果描述：</w:t>
      </w:r>
      <w:r>
        <w:rPr>
          <w:rFonts w:hint="eastAsia" w:eastAsia="仿宋" w:cs="仿宋"/>
          <w:sz w:val="32"/>
          <w:szCs w:val="32"/>
        </w:rPr>
        <w:t>依托</w:t>
      </w:r>
      <w:r>
        <w:rPr>
          <w:rFonts w:ascii="仿宋_GB2312" w:hAnsi="宋体" w:eastAsia="仿宋_GB2312" w:cs="仿宋_GB2312"/>
          <w:color w:val="333333"/>
          <w:sz w:val="31"/>
          <w:szCs w:val="31"/>
          <w:shd w:val="clear" w:color="auto" w:fill="FFFFFF"/>
        </w:rPr>
        <w:t>中国</w:t>
      </w:r>
      <w:r>
        <w:rPr>
          <w:rFonts w:eastAsia="仿宋" w:cs="仿宋"/>
          <w:sz w:val="32"/>
          <w:szCs w:val="32"/>
        </w:rPr>
        <w:t>质量研究与教育（南宁）基地</w:t>
      </w:r>
      <w:r>
        <w:rPr>
          <w:rFonts w:hint="eastAsia" w:eastAsia="仿宋" w:cs="仿宋"/>
          <w:sz w:val="32"/>
          <w:szCs w:val="32"/>
        </w:rPr>
        <w:t>，与南宁市质量强市办联合举办“南宁市高质量发展大讲堂”，</w:t>
      </w:r>
      <w:r>
        <w:rPr>
          <w:rFonts w:hint="eastAsia" w:ascii="仿宋_GB2312" w:hAnsi="宋体" w:eastAsia="仿宋_GB2312" w:cs="仿宋_GB2312"/>
          <w:color w:val="333333"/>
          <w:sz w:val="31"/>
          <w:szCs w:val="31"/>
          <w:shd w:val="clear" w:color="auto" w:fill="FFFFFF"/>
        </w:rPr>
        <w:t>南宁</w:t>
      </w:r>
      <w:r>
        <w:rPr>
          <w:rFonts w:ascii="仿宋_GB2312" w:hAnsi="宋体" w:eastAsia="仿宋_GB2312" w:cs="仿宋_GB2312"/>
          <w:color w:val="333333"/>
          <w:sz w:val="31"/>
          <w:szCs w:val="31"/>
          <w:shd w:val="clear" w:color="auto" w:fill="FFFFFF"/>
        </w:rPr>
        <w:t>市场监管局相关科室、中心、二层机构</w:t>
      </w:r>
      <w:r>
        <w:rPr>
          <w:rFonts w:hint="eastAsia" w:ascii="仿宋_GB2312" w:hAnsi="宋体" w:eastAsia="仿宋_GB2312" w:cs="仿宋_GB2312"/>
          <w:color w:val="333333"/>
          <w:sz w:val="31"/>
          <w:szCs w:val="31"/>
          <w:shd w:val="clear" w:color="auto" w:fill="FFFFFF"/>
        </w:rPr>
        <w:t>负责人，企业首席质量官等超过800人参加培训。</w:t>
      </w:r>
    </w:p>
    <w:p>
      <w:pPr>
        <w:spacing w:line="560" w:lineRule="atLeast"/>
        <w:ind w:firstLine="640" w:firstLineChars="200"/>
        <w:rPr>
          <w:rFonts w:eastAsia="仿宋" w:cs="仿宋"/>
          <w:sz w:val="32"/>
          <w:szCs w:val="32"/>
        </w:rPr>
      </w:pPr>
      <w:r>
        <w:rPr>
          <w:rFonts w:hint="eastAsia" w:eastAsia="仿宋" w:cs="仿宋"/>
          <w:sz w:val="32"/>
          <w:szCs w:val="32"/>
        </w:rPr>
        <w:t>5.代表性成果5 ：承办“南宁市市场监管系统食品（含特殊食品）生产销售监管能力提升培训班”</w:t>
      </w:r>
    </w:p>
    <w:p>
      <w:pPr>
        <w:spacing w:line="560" w:lineRule="atLeast"/>
        <w:ind w:firstLine="640" w:firstLineChars="200"/>
        <w:rPr>
          <w:rFonts w:eastAsia="仿宋" w:cs="仿宋"/>
          <w:sz w:val="32"/>
          <w:szCs w:val="32"/>
        </w:rPr>
      </w:pPr>
      <w:r>
        <w:rPr>
          <w:rFonts w:hint="eastAsia" w:eastAsia="仿宋" w:cs="仿宋"/>
          <w:sz w:val="32"/>
          <w:szCs w:val="32"/>
        </w:rPr>
        <w:t>成果描述：为切实提升南宁市市场监管系统食品(含特殊食品）生产销售监管人员综合素质和业务能力，邀请了来自自治区市场监督管理局、梧州市市场监管局、广西-东盟食品检验检测中心、我院等10位食品监管和食品研究领域的领导和专家授课，南宁市市场监督管理局食品生产科、食品经营科、特殊食品科等科室人员、各县（市、区）市场监管局、市局开发区分局领导、干部及南宁市规模以上食品生产企业、保健食品生产企业、大中型食品超市食品安全总监或食品安全负责人307人参加培训。</w:t>
      </w:r>
    </w:p>
    <w:p>
      <w:pPr>
        <w:spacing w:line="560" w:lineRule="atLeast"/>
        <w:ind w:firstLine="640"/>
        <w:rPr>
          <w:rFonts w:ascii="仿宋" w:hAnsi="仿宋" w:eastAsia="仿宋" w:cs="仿宋"/>
          <w:sz w:val="32"/>
          <w:szCs w:val="32"/>
          <w:lang w:val="zh-CN"/>
        </w:rPr>
      </w:pPr>
      <w:r>
        <w:rPr>
          <w:rFonts w:hint="eastAsia" w:ascii="仿宋" w:hAnsi="仿宋" w:eastAsia="仿宋" w:cs="仿宋"/>
          <w:sz w:val="32"/>
          <w:szCs w:val="32"/>
          <w:lang w:val="zh-CN"/>
        </w:rPr>
        <w:t>（五）校企共建实习实训和协同创新平台的举措及成效</w:t>
      </w:r>
    </w:p>
    <w:p>
      <w:pPr>
        <w:spacing w:line="560" w:lineRule="atLeast"/>
        <w:ind w:firstLine="640" w:firstLineChars="200"/>
        <w:rPr>
          <w:rFonts w:ascii="仿宋" w:hAnsi="仿宋" w:eastAsia="仿宋" w:cs="仿宋"/>
          <w:sz w:val="32"/>
          <w:szCs w:val="32"/>
        </w:rPr>
      </w:pPr>
      <w:r>
        <w:rPr>
          <w:rFonts w:ascii="仿宋" w:hAnsi="仿宋" w:eastAsia="仿宋" w:cs="仿宋"/>
          <w:sz w:val="32"/>
          <w:szCs w:val="32"/>
        </w:rPr>
        <w:t>校内完善食品安全与品质控制实验中心、食品创新工厂等覆盖食品生产全过程的实验中心，校外构建功能集约、开放共享，兼具生产、教学、创新创业功能的实训实习基地。通过实践课程项目化、实践过程工作化、实践场景真实化、实践教师行业化，提升学生实践能力。新建实验实训室8间1050平米，新建实习实训基地11个。</w:t>
      </w:r>
    </w:p>
    <w:p>
      <w:pPr>
        <w:spacing w:line="560" w:lineRule="atLeast"/>
        <w:ind w:firstLine="640" w:firstLineChars="200"/>
        <w:rPr>
          <w:rFonts w:eastAsia="仿宋" w:cs="仿宋"/>
          <w:sz w:val="32"/>
          <w:szCs w:val="32"/>
        </w:rPr>
      </w:pPr>
      <w:r>
        <w:rPr>
          <w:rFonts w:hint="eastAsia" w:eastAsia="仿宋" w:cs="仿宋"/>
          <w:sz w:val="32"/>
          <w:szCs w:val="32"/>
        </w:rPr>
        <w:t>1</w:t>
      </w:r>
      <w:r>
        <w:rPr>
          <w:rFonts w:hint="eastAsia" w:ascii="仿宋" w:hAnsi="仿宋" w:eastAsia="仿宋" w:cs="仿宋"/>
          <w:sz w:val="32"/>
          <w:szCs w:val="32"/>
        </w:rPr>
        <w:t>.代表性成果</w:t>
      </w:r>
      <w:r>
        <w:rPr>
          <w:rFonts w:hint="eastAsia" w:eastAsia="仿宋" w:cs="仿宋"/>
          <w:sz w:val="32"/>
          <w:szCs w:val="32"/>
        </w:rPr>
        <w:t>1： “广西壮族自治区优势特色水产品加工与贮藏工程研究中心”获区级工程研究中心认定。</w:t>
      </w:r>
    </w:p>
    <w:p>
      <w:pPr>
        <w:spacing w:line="560" w:lineRule="atLeast"/>
        <w:ind w:firstLine="640" w:firstLineChars="200"/>
        <w:rPr>
          <w:rFonts w:eastAsia="仿宋" w:cs="仿宋"/>
          <w:sz w:val="32"/>
          <w:szCs w:val="32"/>
        </w:rPr>
      </w:pPr>
      <w:r>
        <w:rPr>
          <w:rFonts w:hint="eastAsia" w:eastAsia="仿宋" w:cs="仿宋"/>
          <w:sz w:val="32"/>
          <w:szCs w:val="32"/>
        </w:rPr>
        <w:t>成果描述：与广西壮族自治区水产科学研究院、广西壮族自治区农业科学院等院所企业合作，在水产品精深加工技术、流通贮藏技术、副产物高值化利用技术、质量安全控制技术等领域开展科技攻关与应用开展合作，为我区水产品加工产业可持续健康发展提供技术保障。</w:t>
      </w:r>
    </w:p>
    <w:p>
      <w:pPr>
        <w:spacing w:line="560" w:lineRule="atLeast"/>
        <w:ind w:firstLine="640" w:firstLineChars="200"/>
        <w:rPr>
          <w:rFonts w:eastAsia="仿宋" w:cs="仿宋"/>
          <w:sz w:val="32"/>
          <w:szCs w:val="32"/>
        </w:rPr>
      </w:pPr>
      <w:r>
        <w:rPr>
          <w:rFonts w:hint="eastAsia" w:eastAsia="仿宋" w:cs="仿宋"/>
          <w:sz w:val="32"/>
          <w:szCs w:val="32"/>
        </w:rPr>
        <w:t>2</w:t>
      </w:r>
      <w:r>
        <w:rPr>
          <w:rFonts w:hint="eastAsia" w:ascii="仿宋" w:hAnsi="仿宋" w:eastAsia="仿宋" w:cs="仿宋"/>
          <w:sz w:val="32"/>
          <w:szCs w:val="32"/>
        </w:rPr>
        <w:t>.代表性成果</w:t>
      </w:r>
      <w:r>
        <w:rPr>
          <w:rFonts w:hint="eastAsia" w:eastAsia="仿宋" w:cs="仿宋"/>
          <w:sz w:val="32"/>
          <w:szCs w:val="32"/>
        </w:rPr>
        <w:t>2：合作成立“南宁市标准化人才培训基地”。</w:t>
      </w:r>
      <w:r>
        <w:rPr>
          <w:rFonts w:eastAsia="仿宋" w:cs="仿宋"/>
          <w:sz w:val="32"/>
          <w:szCs w:val="32"/>
        </w:rPr>
        <w:t xml:space="preserve"> </w:t>
      </w:r>
    </w:p>
    <w:p>
      <w:pPr>
        <w:spacing w:line="560" w:lineRule="atLeast"/>
        <w:ind w:firstLine="640" w:firstLineChars="200"/>
        <w:rPr>
          <w:rFonts w:eastAsia="仿宋" w:cs="仿宋"/>
          <w:sz w:val="32"/>
          <w:szCs w:val="32"/>
        </w:rPr>
      </w:pPr>
      <w:r>
        <w:rPr>
          <w:rFonts w:hint="eastAsia" w:eastAsia="仿宋" w:cs="仿宋"/>
          <w:sz w:val="32"/>
          <w:szCs w:val="32"/>
        </w:rPr>
        <w:t>成果描述：与南宁市市场监管局、广西标准技术研究院三方共同建立“南宁市标准化人才培训基地”，联合培育懂标准、懂业务、懂外语、懂规则的复合型国际标准化人才,</w:t>
      </w:r>
      <w:r>
        <w:rPr>
          <w:rFonts w:eastAsia="仿宋" w:cs="仿宋"/>
          <w:sz w:val="32"/>
          <w:szCs w:val="32"/>
        </w:rPr>
        <w:t xml:space="preserve"> </w:t>
      </w:r>
      <w:r>
        <w:rPr>
          <w:rFonts w:hint="eastAsia" w:ascii="仿宋" w:hAnsi="仿宋" w:eastAsia="仿宋" w:cs="仿宋"/>
          <w:color w:val="000000" w:themeColor="text1"/>
          <w:sz w:val="32"/>
          <w:szCs w:val="32"/>
          <w14:textFill>
            <w14:solidFill>
              <w14:schemeClr w14:val="tx1"/>
            </w14:solidFill>
          </w14:textFill>
        </w:rPr>
        <w:t>打造全市标准化人才培养“摇篮”与“集聚地”，服务首府南宁经济社会高质量发展。</w:t>
      </w:r>
    </w:p>
    <w:p>
      <w:pPr>
        <w:spacing w:line="560" w:lineRule="atLeast"/>
        <w:ind w:firstLine="640" w:firstLineChars="200"/>
        <w:rPr>
          <w:rFonts w:eastAsia="仿宋" w:cs="仿宋"/>
          <w:sz w:val="32"/>
          <w:szCs w:val="32"/>
        </w:rPr>
      </w:pPr>
      <w:r>
        <w:rPr>
          <w:rFonts w:hint="eastAsia" w:eastAsia="仿宋" w:cs="仿宋"/>
          <w:sz w:val="32"/>
          <w:szCs w:val="32"/>
        </w:rPr>
        <w:t>3</w:t>
      </w:r>
      <w:r>
        <w:rPr>
          <w:rFonts w:hint="eastAsia" w:ascii="仿宋" w:hAnsi="仿宋" w:eastAsia="仿宋" w:cs="仿宋"/>
          <w:sz w:val="32"/>
          <w:szCs w:val="32"/>
        </w:rPr>
        <w:t>.代表性成果</w:t>
      </w:r>
      <w:r>
        <w:rPr>
          <w:rFonts w:hint="eastAsia" w:eastAsia="仿宋" w:cs="仿宋"/>
          <w:sz w:val="32"/>
          <w:szCs w:val="32"/>
        </w:rPr>
        <w:t>3 “广西科学院科研实训基地” “广西产品质量检验研究院实训基地”获批示范性校外实践教学基地建设项目。</w:t>
      </w:r>
    </w:p>
    <w:p>
      <w:pPr>
        <w:spacing w:line="560" w:lineRule="atLeast"/>
        <w:ind w:firstLine="640" w:firstLineChars="200"/>
        <w:rPr>
          <w:rFonts w:eastAsia="仿宋" w:cs="仿宋"/>
          <w:color w:val="C00000"/>
          <w:sz w:val="32"/>
          <w:szCs w:val="32"/>
        </w:rPr>
      </w:pPr>
      <w:r>
        <w:rPr>
          <w:rFonts w:hint="eastAsia" w:eastAsia="仿宋" w:cs="仿宋"/>
          <w:sz w:val="32"/>
          <w:szCs w:val="32"/>
        </w:rPr>
        <w:t>成果描述：在广西科学院、广西质检院合作单位设立校外实训基地，开展课程、毕业实习、毕业设计等不间断的实习实训。</w:t>
      </w:r>
    </w:p>
    <w:p>
      <w:pPr>
        <w:spacing w:line="560" w:lineRule="atLeast"/>
        <w:ind w:firstLine="640" w:firstLineChars="200"/>
        <w:rPr>
          <w:rFonts w:eastAsia="仿宋" w:cs="仿宋"/>
          <w:sz w:val="32"/>
          <w:szCs w:val="32"/>
        </w:rPr>
      </w:pPr>
      <w:r>
        <w:rPr>
          <w:rFonts w:eastAsia="仿宋" w:cs="仿宋"/>
          <w:sz w:val="32"/>
          <w:szCs w:val="32"/>
        </w:rPr>
        <w:t>4</w:t>
      </w:r>
      <w:r>
        <w:rPr>
          <w:rFonts w:hint="eastAsia" w:eastAsia="仿宋" w:cs="仿宋"/>
          <w:sz w:val="32"/>
          <w:szCs w:val="32"/>
        </w:rPr>
        <w:t>.</w:t>
      </w:r>
      <w:r>
        <w:rPr>
          <w:rFonts w:eastAsia="仿宋" w:cs="仿宋"/>
          <w:sz w:val="32"/>
          <w:szCs w:val="32"/>
        </w:rPr>
        <w:t xml:space="preserve"> </w:t>
      </w:r>
      <w:r>
        <w:rPr>
          <w:rFonts w:hint="eastAsia" w:eastAsia="仿宋" w:cs="仿宋"/>
          <w:sz w:val="32"/>
          <w:szCs w:val="32"/>
        </w:rPr>
        <w:t>代表性成果</w:t>
      </w:r>
      <w:r>
        <w:rPr>
          <w:rFonts w:eastAsia="仿宋" w:cs="仿宋"/>
          <w:sz w:val="32"/>
          <w:szCs w:val="32"/>
        </w:rPr>
        <w:t>4</w:t>
      </w:r>
      <w:r>
        <w:rPr>
          <w:rFonts w:hint="eastAsia" w:eastAsia="仿宋" w:cs="仿宋"/>
          <w:sz w:val="32"/>
          <w:szCs w:val="32"/>
        </w:rPr>
        <w:t>：合作成立“学生餐营养研究中心”。</w:t>
      </w:r>
    </w:p>
    <w:p>
      <w:pPr>
        <w:spacing w:line="560" w:lineRule="atLeast"/>
        <w:ind w:firstLine="640" w:firstLineChars="200"/>
        <w:rPr>
          <w:rFonts w:eastAsia="仿宋" w:cs="仿宋"/>
          <w:sz w:val="32"/>
          <w:szCs w:val="32"/>
        </w:rPr>
      </w:pPr>
      <w:r>
        <w:rPr>
          <w:rFonts w:hint="eastAsia" w:eastAsia="仿宋" w:cs="仿宋"/>
          <w:sz w:val="32"/>
          <w:szCs w:val="32"/>
        </w:rPr>
        <w:t>成果描述：与南宁威宁市场发展有限责任公司合作共建集安全、营养、健康、信息化为一体的“学生餐营养研究中心”，南宁市副市长范晓敏出席揭牌仪式。依托研究中心申报2023年南宁市科学研究与技术开发计划重大项目《学生餐食材集采集配全过程质量安全保障关键技术》，并为企业定制《农产品原料快速检验方案》。</w:t>
      </w:r>
    </w:p>
    <w:p>
      <w:pPr>
        <w:numPr>
          <w:ilvl w:val="0"/>
          <w:numId w:val="2"/>
        </w:numPr>
        <w:spacing w:line="560" w:lineRule="atLeas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依托现代产业学院深化创新创业教育改革的举措及成效</w:t>
      </w:r>
    </w:p>
    <w:p>
      <w:pPr>
        <w:spacing w:line="560" w:lineRule="atLeast"/>
        <w:ind w:firstLine="640" w:firstLineChars="200"/>
        <w:rPr>
          <w:rFonts w:ascii="仿宋" w:hAnsi="仿宋" w:eastAsia="仿宋" w:cs="仿宋"/>
          <w:sz w:val="32"/>
          <w:szCs w:val="32"/>
        </w:rPr>
      </w:pPr>
      <w:r>
        <w:rPr>
          <w:rFonts w:ascii="仿宋" w:hAnsi="仿宋" w:eastAsia="仿宋" w:cs="仿宋"/>
          <w:sz w:val="32"/>
          <w:szCs w:val="32"/>
        </w:rPr>
        <w:t>依托学校区级创新创业实践教育示范基地，通过思创融合、专创融合、教创融合，健全“全覆盖、多层次、个性化”创新创业教育体系，为学生提供多样化成长路径。以大创、互联网+、品牌设计大赛、产品营销大赛等为载体，开展1+X+Y 课程建设（必修课+进阶课+专创融合课）。</w:t>
      </w:r>
    </w:p>
    <w:p>
      <w:pPr>
        <w:spacing w:line="560" w:lineRule="atLeast"/>
        <w:ind w:left="227" w:firstLine="611" w:firstLineChars="191"/>
        <w:rPr>
          <w:rFonts w:ascii="仿宋" w:hAnsi="仿宋" w:eastAsia="仿宋" w:cs="仿宋"/>
          <w:sz w:val="32"/>
          <w:szCs w:val="32"/>
        </w:rPr>
      </w:pPr>
      <w:r>
        <w:rPr>
          <w:rFonts w:ascii="仿宋" w:hAnsi="仿宋" w:eastAsia="仿宋" w:cs="仿宋"/>
          <w:sz w:val="32"/>
          <w:szCs w:val="32"/>
        </w:rPr>
        <w:t>产业学院立项以来，创新创业类竞赛学生参与率100%。学生获省部级创新创业、学科专业竞赛等奖励65项</w:t>
      </w:r>
      <w:r>
        <w:rPr>
          <w:rFonts w:hint="eastAsia" w:ascii="仿宋" w:hAnsi="仿宋" w:eastAsia="仿宋" w:cs="仿宋"/>
          <w:sz w:val="32"/>
          <w:szCs w:val="32"/>
        </w:rPr>
        <w:t>，《创新创业基础》入选第二批国家级一流本科课程，</w:t>
      </w:r>
      <w:r>
        <w:rPr>
          <w:rFonts w:eastAsia="仿宋"/>
          <w:sz w:val="32"/>
          <w:szCs w:val="32"/>
        </w:rPr>
        <w:t>《五步法创新实践》获批自治区级一流本科课程建设</w:t>
      </w:r>
      <w:r>
        <w:rPr>
          <w:rFonts w:hint="eastAsia" w:ascii="仿宋" w:hAnsi="仿宋" w:eastAsia="仿宋" w:cs="仿宋"/>
          <w:sz w:val="32"/>
          <w:szCs w:val="32"/>
        </w:rPr>
        <w:t>。</w:t>
      </w:r>
    </w:p>
    <w:p>
      <w:pPr>
        <w:numPr>
          <w:ilvl w:val="0"/>
          <w:numId w:val="3"/>
        </w:numPr>
        <w:spacing w:line="560" w:lineRule="atLeast"/>
        <w:rPr>
          <w:rFonts w:eastAsia="仿宋"/>
          <w:sz w:val="32"/>
          <w:szCs w:val="32"/>
        </w:rPr>
      </w:pPr>
      <w:r>
        <w:rPr>
          <w:rFonts w:eastAsia="仿宋"/>
          <w:sz w:val="32"/>
          <w:szCs w:val="32"/>
        </w:rPr>
        <w:t>代表性成果1</w:t>
      </w:r>
      <w:r>
        <w:rPr>
          <w:rFonts w:hint="eastAsia" w:eastAsia="仿宋"/>
          <w:sz w:val="32"/>
          <w:szCs w:val="32"/>
        </w:rPr>
        <w:t>：</w:t>
      </w:r>
      <w:r>
        <w:rPr>
          <w:rFonts w:eastAsia="仿宋"/>
          <w:sz w:val="32"/>
          <w:szCs w:val="32"/>
        </w:rPr>
        <w:t xml:space="preserve"> 《创新创业基础》入选第二批国家级一流本科课程</w:t>
      </w:r>
      <w:r>
        <w:rPr>
          <w:rFonts w:hint="eastAsia" w:eastAsia="仿宋"/>
          <w:sz w:val="32"/>
          <w:szCs w:val="32"/>
        </w:rPr>
        <w:t>。</w:t>
      </w:r>
    </w:p>
    <w:p>
      <w:pPr>
        <w:spacing w:line="560" w:lineRule="atLeast"/>
        <w:ind w:firstLine="640" w:firstLineChars="200"/>
      </w:pPr>
      <w:r>
        <w:rPr>
          <w:rFonts w:hint="eastAsia" w:eastAsia="仿宋" w:cs="仿宋"/>
          <w:sz w:val="32"/>
          <w:szCs w:val="32"/>
        </w:rPr>
        <w:t>成果描述：</w:t>
      </w:r>
      <w:r>
        <w:rPr>
          <w:rFonts w:hint="eastAsia" w:eastAsia="仿宋"/>
          <w:sz w:val="32"/>
          <w:szCs w:val="32"/>
        </w:rPr>
        <w:t>该课程围绕学校“做人有品格、就业有本领、创业有能力、深造有基础、发展有后劲”的人才培养目标，紧贴“应用型、地方性”的办学类型定位，以应用型能力产出为导向，“解构”“重构”课程目标。通过红色筑梦实践、大创立项实践、专创融合实践、创业大赛实践，大学四年贯穿培养，使学生达成“培育家国情怀”、“内化创业知识”、“产出应用能力”三大目标。</w:t>
      </w:r>
    </w:p>
    <w:p>
      <w:pPr>
        <w:numPr>
          <w:ilvl w:val="0"/>
          <w:numId w:val="3"/>
        </w:numPr>
        <w:spacing w:line="560" w:lineRule="atLeast"/>
        <w:rPr>
          <w:rFonts w:eastAsia="仿宋"/>
          <w:sz w:val="32"/>
          <w:szCs w:val="32"/>
        </w:rPr>
      </w:pPr>
      <w:r>
        <w:rPr>
          <w:rFonts w:eastAsia="仿宋"/>
          <w:sz w:val="32"/>
          <w:szCs w:val="32"/>
        </w:rPr>
        <w:t>代表性成果</w:t>
      </w:r>
      <w:r>
        <w:rPr>
          <w:rFonts w:hint="eastAsia" w:eastAsia="仿宋"/>
          <w:sz w:val="32"/>
          <w:szCs w:val="32"/>
        </w:rPr>
        <w:t>2：</w:t>
      </w:r>
      <w:r>
        <w:rPr>
          <w:rFonts w:eastAsia="仿宋"/>
          <w:sz w:val="32"/>
          <w:szCs w:val="32"/>
        </w:rPr>
        <w:t>《五步法创新实践》获批自治区级一流本科课程</w:t>
      </w:r>
      <w:r>
        <w:rPr>
          <w:rFonts w:hint="eastAsia" w:eastAsia="仿宋"/>
          <w:sz w:val="32"/>
          <w:szCs w:val="32"/>
        </w:rPr>
        <w:t>。</w:t>
      </w:r>
    </w:p>
    <w:p>
      <w:pPr>
        <w:spacing w:line="560" w:lineRule="atLeast"/>
        <w:ind w:firstLine="640" w:firstLineChars="200"/>
        <w:rPr>
          <w:rFonts w:eastAsia="仿宋"/>
          <w:sz w:val="32"/>
          <w:szCs w:val="32"/>
        </w:rPr>
      </w:pPr>
      <w:r>
        <w:rPr>
          <w:rFonts w:hint="eastAsia" w:eastAsia="仿宋" w:cs="仿宋"/>
          <w:sz w:val="32"/>
          <w:szCs w:val="32"/>
        </w:rPr>
        <w:t>成果描述：该课程以创新能力、应用能力产出为导向，依托斯坦福-南宁学院创新创业实验中心的资源，引入斯坦福设计思维方法论，通过社会实践的形式，引导学生去发现和解决社会问题，进一步加深理论，做到“学中做、做中学”。结合青年红色筑梦之旅和学科赛事，首创积分评分制度，全面考核过程质量和结果质量，为学生带来理实一体、思创一体、专创一体、赛创一体的全新学习体验。</w:t>
      </w:r>
    </w:p>
    <w:p>
      <w:pPr>
        <w:numPr>
          <w:ilvl w:val="0"/>
          <w:numId w:val="3"/>
        </w:numPr>
        <w:spacing w:line="560" w:lineRule="atLeast"/>
        <w:rPr>
          <w:rFonts w:eastAsia="仿宋"/>
          <w:sz w:val="32"/>
          <w:szCs w:val="32"/>
        </w:rPr>
      </w:pPr>
      <w:r>
        <w:rPr>
          <w:rFonts w:eastAsia="仿宋"/>
          <w:sz w:val="32"/>
          <w:szCs w:val="32"/>
        </w:rPr>
        <w:t>代表性成果</w:t>
      </w:r>
      <w:r>
        <w:rPr>
          <w:rFonts w:hint="eastAsia" w:eastAsia="仿宋"/>
          <w:sz w:val="32"/>
          <w:szCs w:val="32"/>
        </w:rPr>
        <w:t>3：</w:t>
      </w:r>
      <w:r>
        <w:rPr>
          <w:rFonts w:eastAsia="仿宋"/>
          <w:sz w:val="32"/>
          <w:szCs w:val="32"/>
        </w:rPr>
        <w:t>《第一蔬记——珍稀药蔬新品类的研发者和推广者》</w:t>
      </w:r>
      <w:r>
        <w:rPr>
          <w:rFonts w:hint="eastAsia" w:eastAsia="仿宋"/>
          <w:sz w:val="32"/>
          <w:szCs w:val="32"/>
        </w:rPr>
        <w:t>获中国国际互联网+创新创业比赛国赛铜奖。</w:t>
      </w:r>
    </w:p>
    <w:p>
      <w:pPr>
        <w:spacing w:line="560" w:lineRule="atLeast"/>
        <w:ind w:firstLine="640" w:firstLineChars="200"/>
        <w:rPr>
          <w:rFonts w:eastAsia="仿宋"/>
          <w:sz w:val="32"/>
          <w:szCs w:val="32"/>
        </w:rPr>
      </w:pPr>
      <w:r>
        <w:rPr>
          <w:rFonts w:hint="eastAsia" w:eastAsia="仿宋" w:cs="仿宋"/>
          <w:sz w:val="32"/>
          <w:szCs w:val="32"/>
        </w:rPr>
        <w:t>成果描述：项目致力于有机蔬菜前端种植技术的推广，针对种植难题进行探索研究，找到了系列创新解决方案，已形成五大核心种植技术，包括微生物土壤改良、快速播种，快速种植采摘、保湿除虫助长和生物防治，能有效降低有机蔬菜种植成本、提高种植产量及质量。目前已在多个乡镇建立种植基地，与农户签订合作合同，并向特殊群体如肿瘤医院、月子中心和幼儿园供应蔬菜。通过建设示范种植基地，带动农户合作种植，打通市场全链条，并形成产业化种植，助力乡村振兴。</w:t>
      </w:r>
    </w:p>
    <w:p>
      <w:pPr>
        <w:numPr>
          <w:ilvl w:val="0"/>
          <w:numId w:val="3"/>
        </w:numPr>
        <w:spacing w:line="560" w:lineRule="atLeast"/>
        <w:rPr>
          <w:rFonts w:eastAsia="仿宋"/>
          <w:sz w:val="32"/>
          <w:szCs w:val="32"/>
        </w:rPr>
      </w:pPr>
      <w:r>
        <w:rPr>
          <w:rFonts w:eastAsia="仿宋"/>
          <w:sz w:val="32"/>
          <w:szCs w:val="32"/>
        </w:rPr>
        <w:t>代表性成果</w:t>
      </w:r>
      <w:r>
        <w:rPr>
          <w:rFonts w:hint="eastAsia" w:eastAsia="仿宋"/>
          <w:sz w:val="32"/>
          <w:szCs w:val="32"/>
        </w:rPr>
        <w:t>4：《菌力重生：首创微生物菌团技术，扭转西南地区土壤生态灾难的践行者》获中国国际互联网+创新创业比赛国赛铜奖。</w:t>
      </w:r>
    </w:p>
    <w:p>
      <w:pPr>
        <w:spacing w:line="560" w:lineRule="atLeast"/>
        <w:ind w:firstLine="640" w:firstLineChars="200"/>
        <w:rPr>
          <w:rFonts w:eastAsia="仿宋"/>
          <w:sz w:val="32"/>
          <w:szCs w:val="32"/>
        </w:rPr>
      </w:pPr>
      <w:r>
        <w:rPr>
          <w:rFonts w:hint="eastAsia" w:eastAsia="仿宋" w:cs="仿宋"/>
          <w:sz w:val="32"/>
          <w:szCs w:val="32"/>
        </w:rPr>
        <w:t>成果描述：项目采用了首创的菌团技术，对土壤进行物理化修复和调整，致力于解决大面积种植速生桉所带来的环境和生态问题，包括土地退化、水土流失、生态失衡等，还能够促进土壤微生物的生长和繁殖，增强土壤的生态功能和稳定性，实现农业的自然属性回归。目前已在广西种植面积3600万亩、全国速生桉种植面积达到了6000万亩的地区进行了试验，并取得了显著的成果，实现了经济效益和生态效益的双赢。项目的成功实施不仅有望为我国的农业生产带来革命性的变革，同时也将为全球生态环境的保护和可持续发展做出积极的贡献。</w:t>
      </w:r>
    </w:p>
    <w:p>
      <w:pPr>
        <w:numPr>
          <w:ilvl w:val="0"/>
          <w:numId w:val="2"/>
        </w:num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完善多主体合作办学管理体制机制的举措与成效</w:t>
      </w:r>
    </w:p>
    <w:p>
      <w:pPr>
        <w:spacing w:line="560" w:lineRule="atLeast"/>
        <w:ind w:firstLine="736" w:firstLineChars="230"/>
        <w:rPr>
          <w:rFonts w:ascii="仿宋" w:hAnsi="仿宋" w:eastAsia="仿宋" w:cs="仿宋"/>
          <w:sz w:val="32"/>
          <w:szCs w:val="32"/>
        </w:rPr>
      </w:pPr>
      <w:r>
        <w:rPr>
          <w:rFonts w:hint="eastAsia" w:ascii="仿宋" w:hAnsi="仿宋" w:eastAsia="仿宋" w:cs="仿宋"/>
          <w:sz w:val="32"/>
          <w:szCs w:val="32"/>
        </w:rPr>
        <w:t>学校专门设立了食品与质量工程二级学院，与食品产业学院管理机构合二为一。产业学院院长由校长兼任，核心专业学院与共建专业学院共同推进产业学院工作。制定了《南宁学院现代产业学院建设总体方案》、《南宁学院产业学院教学质量保障体系》。</w:t>
      </w:r>
    </w:p>
    <w:p>
      <w:pPr>
        <w:spacing w:line="560" w:lineRule="atLeast"/>
        <w:ind w:firstLine="736" w:firstLineChars="230"/>
        <w:rPr>
          <w:rFonts w:ascii="黑体" w:hAnsi="黑体" w:eastAsia="黑体" w:cs="黑体"/>
          <w:sz w:val="32"/>
          <w:szCs w:val="32"/>
        </w:rPr>
      </w:pPr>
      <w:r>
        <w:rPr>
          <w:rFonts w:hint="eastAsia" w:ascii="黑体" w:hAnsi="黑体" w:eastAsia="黑体" w:cs="黑体"/>
          <w:sz w:val="32"/>
          <w:szCs w:val="32"/>
        </w:rPr>
        <w:t>三、经费投入及使用情况</w:t>
      </w:r>
    </w:p>
    <w:p>
      <w:pPr>
        <w:spacing w:line="560" w:lineRule="atLeast"/>
        <w:ind w:firstLine="640" w:firstLineChars="200"/>
        <w:rPr>
          <w:rFonts w:ascii="仿宋" w:hAnsi="仿宋" w:eastAsia="仿宋" w:cs="仿宋"/>
          <w:sz w:val="32"/>
          <w:szCs w:val="32"/>
        </w:rPr>
      </w:pPr>
      <w:r>
        <w:rPr>
          <w:rFonts w:ascii="仿宋" w:hAnsi="仿宋" w:eastAsia="仿宋" w:cs="仿宋"/>
          <w:sz w:val="32"/>
          <w:szCs w:val="32"/>
        </w:rPr>
        <w:t>（一）</w:t>
      </w:r>
      <w:r>
        <w:rPr>
          <w:rFonts w:hint="eastAsia" w:ascii="仿宋" w:hAnsi="仿宋" w:eastAsia="仿宋" w:cs="仿宋"/>
          <w:sz w:val="32"/>
          <w:szCs w:val="32"/>
        </w:rPr>
        <w:t>经费投入情况</w:t>
      </w:r>
    </w:p>
    <w:p>
      <w:pPr>
        <w:spacing w:line="560" w:lineRule="atLeast"/>
        <w:ind w:firstLine="640" w:firstLineChars="200"/>
        <w:rPr>
          <w:rFonts w:ascii="仿宋" w:hAnsi="仿宋" w:eastAsia="仿宋" w:cs="仿宋"/>
          <w:sz w:val="32"/>
          <w:szCs w:val="32"/>
        </w:rPr>
      </w:pPr>
      <w:r>
        <w:rPr>
          <w:rFonts w:hint="eastAsia"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学校建立示范性现代产业学院多主体投入机制，统筹落实示范性现代产业学院专项资金的有关情况。</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学校按照《广西普通本科高校示范性现代产业学院建设管理办法》要求，依照建设任务书落实年度建设经费投入，两年共投入经费1318万元。其中，教育厅2022年专项拨款285万元，2023年拨款353万元，共计638万元；学校2022年配套专项经费230万元，2023年配套450万元，共计680万元。</w:t>
      </w:r>
    </w:p>
    <w:p>
      <w:pPr>
        <w:spacing w:line="560" w:lineRule="atLeast"/>
        <w:ind w:firstLine="640" w:firstLineChars="200"/>
        <w:rPr>
          <w:rFonts w:ascii="仿宋" w:hAnsi="仿宋" w:eastAsia="仿宋" w:cs="仿宋"/>
          <w:sz w:val="32"/>
          <w:szCs w:val="32"/>
        </w:rPr>
      </w:pPr>
      <w:r>
        <w:rPr>
          <w:rFonts w:hint="eastAsia" w:eastAsia="仿宋" w:cs="仿宋"/>
          <w:sz w:val="32"/>
          <w:szCs w:val="32"/>
        </w:rPr>
        <w:t>2</w:t>
      </w:r>
      <w:r>
        <w:rPr>
          <w:rFonts w:hint="eastAsia" w:ascii="仿宋" w:hAnsi="仿宋" w:eastAsia="仿宋" w:cs="仿宋"/>
          <w:sz w:val="32"/>
          <w:szCs w:val="32"/>
        </w:rPr>
        <w:t>.</w:t>
      </w:r>
      <w:r>
        <w:rPr>
          <w:rFonts w:ascii="仿宋" w:hAnsi="仿宋" w:eastAsia="仿宋" w:cs="仿宋"/>
          <w:sz w:val="32"/>
          <w:szCs w:val="32"/>
        </w:rPr>
        <w:t>共建单位提供的经费支持情况。</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广西壮族自治区市场监督管理局出资6</w:t>
      </w:r>
      <w:r>
        <w:rPr>
          <w:rFonts w:ascii="仿宋" w:hAnsi="仿宋" w:eastAsia="仿宋" w:cs="仿宋"/>
          <w:sz w:val="32"/>
          <w:szCs w:val="32"/>
        </w:rPr>
        <w:t>00</w:t>
      </w:r>
      <w:r>
        <w:rPr>
          <w:rFonts w:hint="eastAsia" w:ascii="仿宋" w:hAnsi="仿宋" w:eastAsia="仿宋" w:cs="仿宋"/>
          <w:sz w:val="32"/>
          <w:szCs w:val="32"/>
        </w:rPr>
        <w:t>万元在产业学院建设了分子光谱分析实验室。</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（二）自治区财政专项奖补经费支出情况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2022年。2022年教育厅专项奖补经费共支出285万元，具体支出如下：</w:t>
      </w:r>
    </w:p>
    <w:p>
      <w:pPr>
        <w:spacing w:line="600" w:lineRule="exact"/>
        <w:ind w:firstLine="419" w:firstLineChars="131"/>
        <w:rPr>
          <w:rFonts w:ascii="仿宋" w:hAnsi="仿宋" w:eastAsia="仿宋" w:cs="仿宋"/>
          <w:sz w:val="32"/>
          <w:szCs w:val="32"/>
        </w:rPr>
      </w:pPr>
      <w:r>
        <w:rPr>
          <w:rFonts w:hint="eastAsia" w:ascii="仿宋" w:hAnsi="仿宋" w:eastAsia="仿宋" w:cs="仿宋"/>
          <w:sz w:val="32"/>
          <w:szCs w:val="32"/>
        </w:rPr>
        <w:t>工程研究中心条件完善、实验中心建设240.817万元，工程研究中心成果孵化20.943万元，专业建设2.6175万元，教师培训10.85万元，会议、差旅费开支2万元，专家咨询费1.885万元，劳务费2万元，课程建设2万元，学生活动1.8875万元。</w:t>
      </w:r>
    </w:p>
    <w:p>
      <w:pPr>
        <w:spacing w:line="600" w:lineRule="exact"/>
        <w:ind w:firstLine="736" w:firstLineChars="230"/>
        <w:jc w:val="left"/>
        <w:rPr>
          <w:rFonts w:ascii="仿宋" w:hAnsi="仿宋" w:eastAsia="仿宋" w:cs="仿宋"/>
          <w:sz w:val="32"/>
          <w:szCs w:val="32"/>
        </w:rPr>
      </w:pPr>
      <w:r>
        <w:rPr>
          <w:rFonts w:hint="eastAsia" w:ascii="仿宋" w:hAnsi="仿宋" w:eastAsia="仿宋" w:cs="仿宋"/>
          <w:sz w:val="32"/>
          <w:szCs w:val="32"/>
        </w:rPr>
        <w:t>2023年。</w:t>
      </w:r>
      <w:r>
        <w:rPr>
          <w:rFonts w:ascii="仿宋" w:hAnsi="仿宋" w:eastAsia="仿宋" w:cs="仿宋"/>
          <w:sz w:val="32"/>
          <w:szCs w:val="32"/>
        </w:rPr>
        <w:t>202</w:t>
      </w:r>
      <w:r>
        <w:rPr>
          <w:rFonts w:hint="eastAsia" w:ascii="仿宋" w:hAnsi="仿宋" w:eastAsia="仿宋" w:cs="仿宋"/>
          <w:sz w:val="32"/>
          <w:szCs w:val="32"/>
        </w:rPr>
        <w:t>3</w:t>
      </w:r>
      <w:r>
        <w:rPr>
          <w:rFonts w:ascii="仿宋" w:hAnsi="仿宋" w:eastAsia="仿宋" w:cs="仿宋"/>
          <w:sz w:val="32"/>
          <w:szCs w:val="32"/>
        </w:rPr>
        <w:t>年教育厅专项奖补经费</w:t>
      </w:r>
      <w:r>
        <w:rPr>
          <w:rFonts w:hint="eastAsia" w:ascii="仿宋" w:hAnsi="仿宋" w:eastAsia="仿宋" w:cs="仿宋"/>
          <w:sz w:val="32"/>
          <w:szCs w:val="32"/>
        </w:rPr>
        <w:t>计划</w:t>
      </w:r>
      <w:r>
        <w:rPr>
          <w:rFonts w:ascii="仿宋" w:hAnsi="仿宋" w:eastAsia="仿宋" w:cs="仿宋"/>
          <w:sz w:val="32"/>
          <w:szCs w:val="32"/>
        </w:rPr>
        <w:t>支出</w:t>
      </w:r>
      <w:r>
        <w:rPr>
          <w:rFonts w:hint="eastAsia" w:ascii="仿宋" w:hAnsi="仿宋" w:eastAsia="仿宋" w:cs="仿宋"/>
          <w:sz w:val="32"/>
          <w:szCs w:val="32"/>
        </w:rPr>
        <w:t>3</w:t>
      </w:r>
      <w:r>
        <w:rPr>
          <w:rFonts w:ascii="仿宋" w:hAnsi="仿宋" w:eastAsia="仿宋" w:cs="仿宋"/>
          <w:sz w:val="32"/>
          <w:szCs w:val="32"/>
        </w:rPr>
        <w:t>53万元，</w:t>
      </w:r>
      <w:r>
        <w:rPr>
          <w:rFonts w:hint="eastAsia" w:ascii="仿宋" w:hAnsi="仿宋" w:eastAsia="仿宋" w:cs="仿宋"/>
          <w:sz w:val="32"/>
          <w:szCs w:val="32"/>
        </w:rPr>
        <w:t>包括：会议差旅费3万元，专家咨询和劳务费4万元，教师培训2万元，课程、教材开发和专业建设35万元，工程研究中心成果孵化30万元，教师企业实践6万元，交流活动2万元，实验室建设263万元，学生活动8万元。截至8月3</w:t>
      </w:r>
      <w:r>
        <w:rPr>
          <w:rFonts w:ascii="仿宋" w:hAnsi="仿宋" w:eastAsia="仿宋" w:cs="仿宋"/>
          <w:sz w:val="32"/>
          <w:szCs w:val="32"/>
        </w:rPr>
        <w:t>0</w:t>
      </w:r>
      <w:r>
        <w:rPr>
          <w:rFonts w:hint="eastAsia" w:ascii="仿宋" w:hAnsi="仿宋" w:eastAsia="仿宋" w:cs="仿宋"/>
          <w:sz w:val="32"/>
          <w:szCs w:val="32"/>
        </w:rPr>
        <w:t>日，已支出</w:t>
      </w:r>
      <w:r>
        <w:rPr>
          <w:rFonts w:ascii="仿宋" w:hAnsi="仿宋" w:eastAsia="仿宋" w:cs="仿宋"/>
          <w:sz w:val="32"/>
          <w:szCs w:val="32"/>
        </w:rPr>
        <w:t>：</w:t>
      </w:r>
      <w:r>
        <w:rPr>
          <w:rFonts w:hint="eastAsia" w:ascii="仿宋" w:hAnsi="仿宋" w:eastAsia="仿宋" w:cs="仿宋"/>
          <w:sz w:val="32"/>
          <w:szCs w:val="32"/>
        </w:rPr>
        <w:t>实验室建设315万元（已签合同，建设中）、</w:t>
      </w:r>
      <w:r>
        <w:rPr>
          <w:rFonts w:ascii="仿宋" w:hAnsi="仿宋" w:eastAsia="仿宋" w:cs="仿宋"/>
          <w:sz w:val="32"/>
          <w:szCs w:val="32"/>
        </w:rPr>
        <w:t>会议、差旅费</w:t>
      </w:r>
      <w:r>
        <w:rPr>
          <w:rFonts w:hint="eastAsia" w:ascii="仿宋" w:hAnsi="仿宋" w:eastAsia="仿宋" w:cs="仿宋"/>
          <w:sz w:val="32"/>
          <w:szCs w:val="32"/>
        </w:rPr>
        <w:t>3.65万元，专家咨询和劳务费4.33万元，课程和专业建设费8.4万元，工程研究中心成果孵化17.4万元，教师培训2.57万元，交流活动2.5万元；合计353.85万元。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三、存在的主要问题</w:t>
      </w:r>
    </w:p>
    <w:p>
      <w:pPr>
        <w:pStyle w:val="6"/>
        <w:adjustRightInd w:val="0"/>
        <w:snapToGrid w:val="0"/>
        <w:spacing w:line="600" w:lineRule="exact"/>
        <w:ind w:firstLine="640"/>
        <w:rPr>
          <w:rFonts w:ascii="仿宋" w:hAnsi="仿宋" w:eastAsia="仿宋" w:cs="仿宋"/>
          <w:kern w:val="2"/>
          <w:lang w:val="en-US" w:bidi="ar-SA"/>
        </w:rPr>
      </w:pPr>
      <w:r>
        <w:rPr>
          <w:rFonts w:ascii="仿宋" w:hAnsi="仿宋" w:eastAsia="仿宋" w:cs="仿宋"/>
          <w:kern w:val="2"/>
          <w:lang w:val="en-US" w:bidi="ar-SA"/>
        </w:rPr>
        <w:t>1.</w:t>
      </w:r>
      <w:r>
        <w:rPr>
          <w:rFonts w:hint="eastAsia" w:ascii="仿宋" w:hAnsi="仿宋" w:eastAsia="仿宋" w:cs="仿宋"/>
          <w:kern w:val="2"/>
          <w:lang w:val="en-US" w:bidi="ar-SA"/>
        </w:rPr>
        <w:t>因学校没有硕士点，兼职硕导招收硕士生难，影响产业学院高层次人才引进。</w:t>
      </w:r>
    </w:p>
    <w:p>
      <w:pPr>
        <w:pStyle w:val="6"/>
        <w:adjustRightInd w:val="0"/>
        <w:snapToGrid w:val="0"/>
        <w:spacing w:line="600" w:lineRule="exact"/>
        <w:ind w:firstLine="640"/>
        <w:rPr>
          <w:rFonts w:ascii="仿宋" w:hAnsi="仿宋" w:eastAsia="仿宋" w:cs="仿宋"/>
          <w:kern w:val="2"/>
          <w:lang w:val="en-US" w:bidi="ar-SA"/>
        </w:rPr>
      </w:pPr>
      <w:r>
        <w:rPr>
          <w:rFonts w:ascii="仿宋" w:hAnsi="仿宋" w:eastAsia="仿宋" w:cs="仿宋"/>
          <w:kern w:val="2"/>
          <w:lang w:val="en-US" w:bidi="ar-SA"/>
        </w:rPr>
        <w:t>2.</w:t>
      </w:r>
      <w:r>
        <w:rPr>
          <w:rFonts w:hint="eastAsia" w:ascii="仿宋" w:hAnsi="仿宋" w:eastAsia="仿宋" w:cs="仿宋"/>
          <w:kern w:val="2"/>
          <w:lang w:val="en-US" w:bidi="ar-SA"/>
        </w:rPr>
        <w:t>缺乏食品类省部级重点实验室和工程中心，产学研科研项目立项受影响。</w:t>
      </w:r>
    </w:p>
    <w:p>
      <w:pPr>
        <w:pStyle w:val="6"/>
        <w:adjustRightInd w:val="0"/>
        <w:snapToGrid w:val="0"/>
        <w:spacing w:line="600" w:lineRule="exact"/>
        <w:ind w:firstLine="640"/>
        <w:rPr>
          <w:rFonts w:ascii="黑体" w:hAnsi="黑体" w:eastAsia="黑体" w:cs="黑体"/>
        </w:rPr>
      </w:pPr>
      <w:r>
        <w:rPr>
          <w:rFonts w:ascii="仿宋" w:hAnsi="仿宋" w:eastAsia="仿宋" w:cs="仿宋"/>
          <w:kern w:val="2"/>
          <w:lang w:val="en-US" w:bidi="ar-SA"/>
        </w:rPr>
        <w:t>3</w:t>
      </w:r>
      <w:r>
        <w:rPr>
          <w:rFonts w:hint="eastAsia" w:ascii="仿宋" w:hAnsi="仿宋" w:eastAsia="仿宋" w:cs="仿宋"/>
          <w:kern w:val="2"/>
          <w:lang w:val="en-US" w:bidi="ar-SA"/>
        </w:rPr>
        <w:t>.企业跟高校合作愿望和主动性虽然比较强，但由于校企利益不一致，企业在精力、财力上难以持续投入，产教深度融合推进难度大。</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四、下一阶段工作计划</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1.完善食品全产业链校内外实习实训、创新创业基地的建设，继续深化人才培养模式改革。</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2.围绕“食品营养与健康”新专业，完善校企协同育人条件建设，如人才引进、实验室实习基地建设、课程、教材开发等。</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3.落实“南宁市标准化人才培训基地”协议中的学科人才、技能人才、国际化人才培养协议，开设“标准化工程微专业”，开展各类标准化人才培养。</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4.协助广西市场监管局、南宁市市场监管局开展广西预制菜相关标准规范的研究。</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5.校企合作课程、教材、资源库、案例库开发。</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6.教学团队、科研团队能力提升。</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7.组织教师开展企业服务、企业实践、联合申报科研项目和平台。</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五、意见建议</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（一）对学校层面的意见建议</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无。</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（二）对自治区教育厅、工业和信息化厅的意见建议</w:t>
      </w:r>
    </w:p>
    <w:p>
      <w:pPr>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无。</w:t>
      </w:r>
    </w:p>
    <w:sectPr>
      <w:footerReference r:id="rId3" w:type="default"/>
      <w:pgSz w:w="11906" w:h="16838"/>
      <w:pgMar w:top="1531" w:right="1531" w:bottom="1531" w:left="1531" w:header="851" w:footer="155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C542E19-E3C7-4234-9B8D-37BAB6457AA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ADAF46D-267B-423E-B043-2EA8C1FF12D4}"/>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embedRegular r:id="rId3" w:fontKey="{9E213205-5B2F-4FBC-9230-0820729B054C}"/>
  </w:font>
  <w:font w:name="仿宋">
    <w:panose1 w:val="02010609060101010101"/>
    <w:charset w:val="86"/>
    <w:family w:val="modern"/>
    <w:pitch w:val="default"/>
    <w:sig w:usb0="800002BF" w:usb1="38CF7CFA" w:usb2="00000016" w:usb3="00000000" w:csb0="00040001" w:csb1="00000000"/>
    <w:embedRegular r:id="rId4" w:fontKey="{4314751A-4A05-430F-B05F-9904ABA250C7}"/>
  </w:font>
  <w:font w:name="Noto Sans Mono CJK JP Bold">
    <w:altName w:val="Segoe Print"/>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embedRegular r:id="rId5" w:fontKey="{6397DA79-BB6F-47D9-903A-B27F39A3BF46}"/>
  </w:font>
  <w:font w:name="楷体">
    <w:panose1 w:val="02010609060101010101"/>
    <w:charset w:val="86"/>
    <w:family w:val="modern"/>
    <w:pitch w:val="default"/>
    <w:sig w:usb0="800002BF" w:usb1="38CF7CFA" w:usb2="00000016" w:usb3="00000000" w:csb0="00040001" w:csb1="00000000"/>
    <w:embedRegular r:id="rId6" w:fontKey="{6BFF89D2-4A05-40FE-B202-69EF87BD75A3}"/>
  </w:font>
  <w:font w:name="Wingdings 2">
    <w:panose1 w:val="05020102010507070707"/>
    <w:charset w:val="02"/>
    <w:family w:val="roman"/>
    <w:pitch w:val="default"/>
    <w:sig w:usb0="00000000" w:usb1="00000000" w:usb2="00000000" w:usb3="00000000" w:csb0="80000000" w:csb1="00000000"/>
    <w:embedRegular r:id="rId7" w:fontKey="{EEED6E5F-D64E-4B87-B995-BE43659CDBA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adjustRightInd w:val="0"/>
      <w:ind w:left="210" w:leftChars="100" w:right="210" w:rightChars="100"/>
      <w:rPr>
        <w:rStyle w:val="18"/>
        <w:rFonts w:ascii="宋体" w:hAnsi="宋体"/>
        <w:sz w:val="28"/>
        <w:szCs w:val="28"/>
      </w:rPr>
    </w:pPr>
    <w:r>
      <w:rPr>
        <w:rStyle w:val="18"/>
        <w:rFonts w:hint="eastAsia" w:ascii="宋体" w:hAnsi="宋体"/>
        <w:sz w:val="28"/>
        <w:szCs w:val="28"/>
      </w:rPr>
      <w:t xml:space="preserve">— </w:t>
    </w:r>
    <w:r>
      <w:rPr>
        <w:rStyle w:val="18"/>
        <w:rFonts w:ascii="宋体" w:hAnsi="宋体"/>
        <w:sz w:val="28"/>
        <w:szCs w:val="28"/>
      </w:rPr>
      <w:fldChar w:fldCharType="begin"/>
    </w:r>
    <w:r>
      <w:rPr>
        <w:rStyle w:val="18"/>
        <w:rFonts w:ascii="宋体" w:hAnsi="宋体"/>
        <w:sz w:val="28"/>
        <w:szCs w:val="28"/>
      </w:rPr>
      <w:instrText xml:space="preserve">PAGE  </w:instrText>
    </w:r>
    <w:r>
      <w:rPr>
        <w:rStyle w:val="18"/>
        <w:rFonts w:ascii="宋体" w:hAnsi="宋体"/>
        <w:sz w:val="28"/>
        <w:szCs w:val="28"/>
      </w:rPr>
      <w:fldChar w:fldCharType="separate"/>
    </w:r>
    <w:r>
      <w:rPr>
        <w:rStyle w:val="18"/>
        <w:rFonts w:ascii="宋体" w:hAnsi="宋体"/>
        <w:sz w:val="28"/>
        <w:szCs w:val="28"/>
      </w:rPr>
      <w:t>24</w:t>
    </w:r>
    <w:r>
      <w:rPr>
        <w:rStyle w:val="18"/>
        <w:rFonts w:ascii="宋体" w:hAnsi="宋体"/>
        <w:sz w:val="28"/>
        <w:szCs w:val="28"/>
      </w:rPr>
      <w:fldChar w:fldCharType="end"/>
    </w:r>
    <w:r>
      <w:rPr>
        <w:rStyle w:val="18"/>
        <w:rFonts w:ascii="宋体" w:hAnsi="宋体"/>
        <w:sz w:val="28"/>
        <w:szCs w:val="28"/>
      </w:rPr>
      <w:t xml:space="preserve"> </w:t>
    </w:r>
    <w:r>
      <w:rPr>
        <w:rStyle w:val="18"/>
        <w:rFonts w:hint="eastAsia" w:ascii="宋体" w:hAnsi="宋体"/>
        <w:sz w:val="28"/>
        <w:szCs w:val="28"/>
      </w:rPr>
      <w:t>—</w:t>
    </w:r>
  </w:p>
  <w:p>
    <w:pPr>
      <w:pStyle w:val="9"/>
      <w:ind w:right="360" w:firstLine="360"/>
      <w:rPr>
        <w:rFonts w:ascii="宋体" w:hAnsi="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251A8D"/>
    <w:multiLevelType w:val="singleLevel"/>
    <w:tmpl w:val="FD251A8D"/>
    <w:lvl w:ilvl="0" w:tentative="0">
      <w:start w:val="6"/>
      <w:numFmt w:val="chineseCounting"/>
      <w:suff w:val="nothing"/>
      <w:lvlText w:val="（%1）"/>
      <w:lvlJc w:val="left"/>
      <w:rPr>
        <w:rFonts w:hint="eastAsia"/>
      </w:rPr>
    </w:lvl>
  </w:abstractNum>
  <w:abstractNum w:abstractNumId="1">
    <w:nsid w:val="6146EB61"/>
    <w:multiLevelType w:val="singleLevel"/>
    <w:tmpl w:val="6146EB61"/>
    <w:lvl w:ilvl="0" w:tentative="0">
      <w:start w:val="1"/>
      <w:numFmt w:val="decimal"/>
      <w:lvlText w:val="%1."/>
      <w:lvlJc w:val="left"/>
      <w:pPr>
        <w:tabs>
          <w:tab w:val="left" w:pos="567"/>
        </w:tabs>
        <w:ind w:left="0" w:firstLine="567"/>
      </w:pPr>
    </w:lvl>
  </w:abstractNum>
  <w:abstractNum w:abstractNumId="2">
    <w:nsid w:val="6B283A58"/>
    <w:multiLevelType w:val="multilevel"/>
    <w:tmpl w:val="6B283A58"/>
    <w:lvl w:ilvl="0" w:tentative="0">
      <w:start w:val="1"/>
      <w:numFmt w:val="chineseCountingThousand"/>
      <w:suff w:val="space"/>
      <w:lvlText w:val="第%1章"/>
      <w:lvlJc w:val="left"/>
      <w:pPr>
        <w:ind w:left="939" w:hanging="851"/>
      </w:pPr>
      <w:rPr>
        <w:rFonts w:hint="eastAsia" w:ascii="仿宋_GB2312" w:eastAsia="仿宋_GB2312"/>
        <w:b/>
        <w:i w:val="0"/>
        <w:sz w:val="36"/>
        <w:szCs w:val="36"/>
      </w:rPr>
    </w:lvl>
    <w:lvl w:ilvl="1" w:tentative="0">
      <w:start w:val="1"/>
      <w:numFmt w:val="decimal"/>
      <w:isLgl/>
      <w:suff w:val="space"/>
      <w:lvlText w:val="%1.%2"/>
      <w:lvlJc w:val="left"/>
      <w:pPr>
        <w:ind w:left="664" w:hanging="576"/>
      </w:pPr>
      <w:rPr>
        <w:rFonts w:hint="eastAsia" w:ascii="仿宋_GB2312" w:hAnsi="宋体" w:eastAsia="仿宋_GB2312"/>
        <w:b/>
        <w:i w:val="0"/>
        <w:sz w:val="32"/>
        <w:szCs w:val="32"/>
      </w:rPr>
    </w:lvl>
    <w:lvl w:ilvl="2" w:tentative="0">
      <w:start w:val="1"/>
      <w:numFmt w:val="decimal"/>
      <w:isLgl/>
      <w:suff w:val="space"/>
      <w:lvlText w:val="%1.%2.%3"/>
      <w:lvlJc w:val="left"/>
      <w:pPr>
        <w:ind w:left="568" w:hanging="340"/>
      </w:pPr>
      <w:rPr>
        <w:rFonts w:hint="eastAsia" w:ascii="仿宋_GB2312" w:hAnsi="Times New Roman" w:eastAsia="仿宋_GB2312" w:cs="Times New Roman"/>
        <w:b/>
        <w:bCs w:val="0"/>
        <w:i w:val="0"/>
        <w:iCs w:val="0"/>
        <w:caps w:val="0"/>
        <w:smallCaps w:val="0"/>
        <w:strike w:val="0"/>
        <w:dstrike w:val="0"/>
        <w:snapToGrid w:val="0"/>
        <w:vanish w:val="0"/>
        <w:color w:val="000000"/>
        <w:spacing w:val="0"/>
        <w:w w:val="0"/>
        <w:kern w:val="0"/>
        <w:position w:val="0"/>
        <w:sz w:val="28"/>
        <w:szCs w:val="28"/>
        <w:u w:val="none"/>
        <w:vertAlign w:val="baseline"/>
      </w:rPr>
    </w:lvl>
    <w:lvl w:ilvl="3" w:tentative="0">
      <w:start w:val="1"/>
      <w:numFmt w:val="decimal"/>
      <w:isLgl/>
      <w:suff w:val="space"/>
      <w:lvlText w:val="%1.%2.%3.%4"/>
      <w:lvlJc w:val="left"/>
      <w:pPr>
        <w:ind w:left="1804" w:hanging="864"/>
      </w:pPr>
      <w:rPr>
        <w:rFonts w:hint="eastAsia" w:ascii="仿宋" w:hAnsi="仿宋" w:eastAsia="仿宋"/>
        <w:b/>
        <w:sz w:val="28"/>
        <w:szCs w:val="28"/>
      </w:rPr>
    </w:lvl>
    <w:lvl w:ilvl="4" w:tentative="0">
      <w:start w:val="1"/>
      <w:numFmt w:val="decimal"/>
      <w:pStyle w:val="4"/>
      <w:isLgl/>
      <w:suff w:val="space"/>
      <w:lvlText w:val="%1.%2.%3.%4.%5"/>
      <w:lvlJc w:val="left"/>
      <w:pPr>
        <w:ind w:left="2001" w:hanging="1008"/>
      </w:pPr>
      <w:rPr>
        <w:rFonts w:hint="eastAsia" w:ascii="仿宋" w:hAnsi="仿宋" w:eastAsia="仿宋"/>
        <w:sz w:val="28"/>
        <w:szCs w:val="28"/>
      </w:rPr>
    </w:lvl>
    <w:lvl w:ilvl="5" w:tentative="0">
      <w:start w:val="1"/>
      <w:numFmt w:val="none"/>
      <w:isLgl/>
      <w:suff w:val="space"/>
      <w:lvlText w:val="%1.%2.%3.%4.%5.1"/>
      <w:lvlJc w:val="left"/>
      <w:pPr>
        <w:ind w:left="2926" w:hanging="1152"/>
      </w:pPr>
      <w:rPr>
        <w:rFonts w:hint="default" w:ascii="仿宋" w:hAnsi="仿宋" w:eastAsia="仿宋" w:cs="Times New Roman"/>
      </w:rPr>
    </w:lvl>
    <w:lvl w:ilvl="6" w:tentative="0">
      <w:start w:val="1"/>
      <w:numFmt w:val="decimal"/>
      <w:isLgl/>
      <w:suff w:val="space"/>
      <w:lvlText w:val="%1.%2.%3.%4.%5.%7"/>
      <w:lvlJc w:val="left"/>
      <w:pPr>
        <w:ind w:left="1810" w:hanging="1296"/>
      </w:pPr>
      <w:rPr>
        <w:rFonts w:hint="eastAsia"/>
      </w:rPr>
    </w:lvl>
    <w:lvl w:ilvl="7" w:tentative="0">
      <w:start w:val="1"/>
      <w:numFmt w:val="decimal"/>
      <w:lvlText w:val="%1.%2.%3.%4.%5.%6.%7.%8"/>
      <w:lvlJc w:val="left"/>
      <w:pPr>
        <w:tabs>
          <w:tab w:val="left" w:pos="1954"/>
        </w:tabs>
        <w:ind w:left="1954" w:hanging="1440"/>
      </w:pPr>
      <w:rPr>
        <w:rFonts w:hint="eastAsia"/>
      </w:rPr>
    </w:lvl>
    <w:lvl w:ilvl="8" w:tentative="0">
      <w:start w:val="1"/>
      <w:numFmt w:val="decimal"/>
      <w:lvlText w:val="%1.%2.%3.%4.%5.%6.%7.%8.%9"/>
      <w:lvlJc w:val="left"/>
      <w:pPr>
        <w:tabs>
          <w:tab w:val="left" w:pos="2098"/>
        </w:tabs>
        <w:ind w:left="2098"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0NmU5ZDZkYmZmMjAxNGNjZWI1ODY2ZjQzYWI5YWMifQ=="/>
    <w:docVar w:name="KSO_WPS_MARK_KEY" w:val="d8ce1037-8dd6-438e-92fd-5c64be38f220"/>
  </w:docVars>
  <w:rsids>
    <w:rsidRoot w:val="DBE7EC5E"/>
    <w:rsid w:val="000011F4"/>
    <w:rsid w:val="00001C7B"/>
    <w:rsid w:val="00012248"/>
    <w:rsid w:val="0001248D"/>
    <w:rsid w:val="000353C0"/>
    <w:rsid w:val="00037471"/>
    <w:rsid w:val="0004054A"/>
    <w:rsid w:val="00041698"/>
    <w:rsid w:val="00041A73"/>
    <w:rsid w:val="00042213"/>
    <w:rsid w:val="00050D8B"/>
    <w:rsid w:val="0005733D"/>
    <w:rsid w:val="0006176A"/>
    <w:rsid w:val="00070104"/>
    <w:rsid w:val="0007105A"/>
    <w:rsid w:val="00071624"/>
    <w:rsid w:val="00071907"/>
    <w:rsid w:val="0007441C"/>
    <w:rsid w:val="000755ED"/>
    <w:rsid w:val="00076626"/>
    <w:rsid w:val="000817C2"/>
    <w:rsid w:val="00081DF9"/>
    <w:rsid w:val="00084E13"/>
    <w:rsid w:val="00084ECA"/>
    <w:rsid w:val="000950F5"/>
    <w:rsid w:val="000979EF"/>
    <w:rsid w:val="000A0CB9"/>
    <w:rsid w:val="000A38EE"/>
    <w:rsid w:val="000A6684"/>
    <w:rsid w:val="000B3DFA"/>
    <w:rsid w:val="000C2B87"/>
    <w:rsid w:val="000C5C03"/>
    <w:rsid w:val="000C5E93"/>
    <w:rsid w:val="000C5F7D"/>
    <w:rsid w:val="000C7175"/>
    <w:rsid w:val="000C7A14"/>
    <w:rsid w:val="000D34C3"/>
    <w:rsid w:val="000D3D41"/>
    <w:rsid w:val="000E48FF"/>
    <w:rsid w:val="000F0666"/>
    <w:rsid w:val="000F3017"/>
    <w:rsid w:val="000F5BF1"/>
    <w:rsid w:val="00102896"/>
    <w:rsid w:val="001039C4"/>
    <w:rsid w:val="00106AAD"/>
    <w:rsid w:val="00111373"/>
    <w:rsid w:val="00113480"/>
    <w:rsid w:val="00120526"/>
    <w:rsid w:val="00121106"/>
    <w:rsid w:val="00122168"/>
    <w:rsid w:val="00122797"/>
    <w:rsid w:val="00127F24"/>
    <w:rsid w:val="00130594"/>
    <w:rsid w:val="001348F2"/>
    <w:rsid w:val="00141E1A"/>
    <w:rsid w:val="001421C0"/>
    <w:rsid w:val="00143B8B"/>
    <w:rsid w:val="00143E77"/>
    <w:rsid w:val="001552F1"/>
    <w:rsid w:val="00157800"/>
    <w:rsid w:val="001734F6"/>
    <w:rsid w:val="001737B1"/>
    <w:rsid w:val="00177A8E"/>
    <w:rsid w:val="00181ED3"/>
    <w:rsid w:val="00183098"/>
    <w:rsid w:val="001839A1"/>
    <w:rsid w:val="00183CEB"/>
    <w:rsid w:val="00184339"/>
    <w:rsid w:val="001A1F9C"/>
    <w:rsid w:val="001A2D47"/>
    <w:rsid w:val="001B0F3C"/>
    <w:rsid w:val="001B610B"/>
    <w:rsid w:val="001C0304"/>
    <w:rsid w:val="001C0DFF"/>
    <w:rsid w:val="001C2DCD"/>
    <w:rsid w:val="001C3ED5"/>
    <w:rsid w:val="001C5844"/>
    <w:rsid w:val="001C5A79"/>
    <w:rsid w:val="001D3EA9"/>
    <w:rsid w:val="001E01C5"/>
    <w:rsid w:val="001E23AE"/>
    <w:rsid w:val="001E2E34"/>
    <w:rsid w:val="001E3D01"/>
    <w:rsid w:val="001E42A4"/>
    <w:rsid w:val="001E6130"/>
    <w:rsid w:val="001F1855"/>
    <w:rsid w:val="00200313"/>
    <w:rsid w:val="00201D32"/>
    <w:rsid w:val="00202AE7"/>
    <w:rsid w:val="002122C6"/>
    <w:rsid w:val="00220396"/>
    <w:rsid w:val="00221C45"/>
    <w:rsid w:val="0022607B"/>
    <w:rsid w:val="00232E30"/>
    <w:rsid w:val="002368B6"/>
    <w:rsid w:val="002403ED"/>
    <w:rsid w:val="0024077A"/>
    <w:rsid w:val="002415E6"/>
    <w:rsid w:val="00241AD8"/>
    <w:rsid w:val="002460D4"/>
    <w:rsid w:val="002510A7"/>
    <w:rsid w:val="00252ED1"/>
    <w:rsid w:val="00254A70"/>
    <w:rsid w:val="00271FA8"/>
    <w:rsid w:val="00274903"/>
    <w:rsid w:val="00276769"/>
    <w:rsid w:val="00276D09"/>
    <w:rsid w:val="00277385"/>
    <w:rsid w:val="00285AE3"/>
    <w:rsid w:val="0028645B"/>
    <w:rsid w:val="00286DD2"/>
    <w:rsid w:val="00291FE4"/>
    <w:rsid w:val="0029633F"/>
    <w:rsid w:val="002A1924"/>
    <w:rsid w:val="002A4AFD"/>
    <w:rsid w:val="002A5CD6"/>
    <w:rsid w:val="002A6D37"/>
    <w:rsid w:val="002A6D9A"/>
    <w:rsid w:val="002B0F9E"/>
    <w:rsid w:val="002C421C"/>
    <w:rsid w:val="002C5BA3"/>
    <w:rsid w:val="002C5C6E"/>
    <w:rsid w:val="002D167E"/>
    <w:rsid w:val="002D7D99"/>
    <w:rsid w:val="002E152C"/>
    <w:rsid w:val="002E2C65"/>
    <w:rsid w:val="002E3992"/>
    <w:rsid w:val="002E3CBB"/>
    <w:rsid w:val="002F3B1A"/>
    <w:rsid w:val="002F55BE"/>
    <w:rsid w:val="003005B9"/>
    <w:rsid w:val="00302435"/>
    <w:rsid w:val="003045D8"/>
    <w:rsid w:val="003053D6"/>
    <w:rsid w:val="00305AF1"/>
    <w:rsid w:val="00305DA6"/>
    <w:rsid w:val="00314A05"/>
    <w:rsid w:val="00320E6B"/>
    <w:rsid w:val="0032533B"/>
    <w:rsid w:val="003328B8"/>
    <w:rsid w:val="00341902"/>
    <w:rsid w:val="00341F40"/>
    <w:rsid w:val="0034452C"/>
    <w:rsid w:val="003460F5"/>
    <w:rsid w:val="00350920"/>
    <w:rsid w:val="00350CDE"/>
    <w:rsid w:val="0036287C"/>
    <w:rsid w:val="0036300B"/>
    <w:rsid w:val="00365BD5"/>
    <w:rsid w:val="00366870"/>
    <w:rsid w:val="003714AE"/>
    <w:rsid w:val="003718DC"/>
    <w:rsid w:val="003743FE"/>
    <w:rsid w:val="00374E9B"/>
    <w:rsid w:val="00382A40"/>
    <w:rsid w:val="00385F37"/>
    <w:rsid w:val="00386066"/>
    <w:rsid w:val="00390AB0"/>
    <w:rsid w:val="00391378"/>
    <w:rsid w:val="003914DA"/>
    <w:rsid w:val="003923EB"/>
    <w:rsid w:val="00393797"/>
    <w:rsid w:val="00394DAD"/>
    <w:rsid w:val="00394ECD"/>
    <w:rsid w:val="003961D6"/>
    <w:rsid w:val="00397B8A"/>
    <w:rsid w:val="003A24DF"/>
    <w:rsid w:val="003A2C7A"/>
    <w:rsid w:val="003A4713"/>
    <w:rsid w:val="003A4968"/>
    <w:rsid w:val="003A695A"/>
    <w:rsid w:val="003B0F2A"/>
    <w:rsid w:val="003B64D6"/>
    <w:rsid w:val="003B6562"/>
    <w:rsid w:val="003C1270"/>
    <w:rsid w:val="003C3620"/>
    <w:rsid w:val="003C3E8E"/>
    <w:rsid w:val="003C43EF"/>
    <w:rsid w:val="003D743F"/>
    <w:rsid w:val="003E3912"/>
    <w:rsid w:val="003E483D"/>
    <w:rsid w:val="003E4FFC"/>
    <w:rsid w:val="003E5B6E"/>
    <w:rsid w:val="003E646E"/>
    <w:rsid w:val="003E714E"/>
    <w:rsid w:val="003F2ADB"/>
    <w:rsid w:val="003F41C2"/>
    <w:rsid w:val="003F43B1"/>
    <w:rsid w:val="003F7A91"/>
    <w:rsid w:val="00401C06"/>
    <w:rsid w:val="004065B4"/>
    <w:rsid w:val="00410546"/>
    <w:rsid w:val="004161B3"/>
    <w:rsid w:val="004222F8"/>
    <w:rsid w:val="004305D8"/>
    <w:rsid w:val="00433BE7"/>
    <w:rsid w:val="00434E77"/>
    <w:rsid w:val="00435BAF"/>
    <w:rsid w:val="00446FFD"/>
    <w:rsid w:val="00450C37"/>
    <w:rsid w:val="0045300A"/>
    <w:rsid w:val="00454B3C"/>
    <w:rsid w:val="0045612D"/>
    <w:rsid w:val="004677A8"/>
    <w:rsid w:val="004718AB"/>
    <w:rsid w:val="00472927"/>
    <w:rsid w:val="00477BDA"/>
    <w:rsid w:val="004803B2"/>
    <w:rsid w:val="00481BB1"/>
    <w:rsid w:val="00481F8B"/>
    <w:rsid w:val="00482372"/>
    <w:rsid w:val="0048759C"/>
    <w:rsid w:val="00492977"/>
    <w:rsid w:val="004A4FEF"/>
    <w:rsid w:val="004A616D"/>
    <w:rsid w:val="004A7359"/>
    <w:rsid w:val="004A7B9F"/>
    <w:rsid w:val="004B3222"/>
    <w:rsid w:val="004B6441"/>
    <w:rsid w:val="004B675F"/>
    <w:rsid w:val="004B6BE0"/>
    <w:rsid w:val="004C0A54"/>
    <w:rsid w:val="004C0A63"/>
    <w:rsid w:val="004C0FF7"/>
    <w:rsid w:val="004C245C"/>
    <w:rsid w:val="004C4CB8"/>
    <w:rsid w:val="004D1AA8"/>
    <w:rsid w:val="004D6D18"/>
    <w:rsid w:val="004D7328"/>
    <w:rsid w:val="004D7BEA"/>
    <w:rsid w:val="004F086C"/>
    <w:rsid w:val="004F0DBB"/>
    <w:rsid w:val="004F2272"/>
    <w:rsid w:val="004F5BBE"/>
    <w:rsid w:val="00502042"/>
    <w:rsid w:val="005074D9"/>
    <w:rsid w:val="00515060"/>
    <w:rsid w:val="0052111E"/>
    <w:rsid w:val="005225F7"/>
    <w:rsid w:val="0052564B"/>
    <w:rsid w:val="005345FE"/>
    <w:rsid w:val="0053559E"/>
    <w:rsid w:val="00541B7E"/>
    <w:rsid w:val="005524BA"/>
    <w:rsid w:val="005576CD"/>
    <w:rsid w:val="00560A93"/>
    <w:rsid w:val="00560AC8"/>
    <w:rsid w:val="00564923"/>
    <w:rsid w:val="00572D8E"/>
    <w:rsid w:val="00574A52"/>
    <w:rsid w:val="00574D88"/>
    <w:rsid w:val="0058191F"/>
    <w:rsid w:val="005840A9"/>
    <w:rsid w:val="0058473F"/>
    <w:rsid w:val="005849B6"/>
    <w:rsid w:val="005900D3"/>
    <w:rsid w:val="005919FB"/>
    <w:rsid w:val="005966AB"/>
    <w:rsid w:val="005A0E8E"/>
    <w:rsid w:val="005A1444"/>
    <w:rsid w:val="005A1F6E"/>
    <w:rsid w:val="005A2D34"/>
    <w:rsid w:val="005B20DA"/>
    <w:rsid w:val="005C74FD"/>
    <w:rsid w:val="005D5C3E"/>
    <w:rsid w:val="005D780F"/>
    <w:rsid w:val="005E4712"/>
    <w:rsid w:val="005F2389"/>
    <w:rsid w:val="005F2790"/>
    <w:rsid w:val="005F76E4"/>
    <w:rsid w:val="00604586"/>
    <w:rsid w:val="006177D8"/>
    <w:rsid w:val="00621746"/>
    <w:rsid w:val="006276B1"/>
    <w:rsid w:val="006333EC"/>
    <w:rsid w:val="00633BAA"/>
    <w:rsid w:val="006351FC"/>
    <w:rsid w:val="006412C5"/>
    <w:rsid w:val="00644617"/>
    <w:rsid w:val="00644D95"/>
    <w:rsid w:val="00661BF1"/>
    <w:rsid w:val="00662B2E"/>
    <w:rsid w:val="00664F56"/>
    <w:rsid w:val="00666560"/>
    <w:rsid w:val="006675D0"/>
    <w:rsid w:val="00670B79"/>
    <w:rsid w:val="00671007"/>
    <w:rsid w:val="0067735D"/>
    <w:rsid w:val="00682B89"/>
    <w:rsid w:val="00682DF9"/>
    <w:rsid w:val="00687E21"/>
    <w:rsid w:val="006969BE"/>
    <w:rsid w:val="00697513"/>
    <w:rsid w:val="006A3F1A"/>
    <w:rsid w:val="006B2BE7"/>
    <w:rsid w:val="006B3FDE"/>
    <w:rsid w:val="006B7118"/>
    <w:rsid w:val="006C452C"/>
    <w:rsid w:val="006C49C8"/>
    <w:rsid w:val="006C681C"/>
    <w:rsid w:val="006D3181"/>
    <w:rsid w:val="006D54B3"/>
    <w:rsid w:val="006D5740"/>
    <w:rsid w:val="006E282F"/>
    <w:rsid w:val="006F27F9"/>
    <w:rsid w:val="006F6DD9"/>
    <w:rsid w:val="006F7432"/>
    <w:rsid w:val="007013A3"/>
    <w:rsid w:val="0071130C"/>
    <w:rsid w:val="0071222C"/>
    <w:rsid w:val="007131D5"/>
    <w:rsid w:val="00713C69"/>
    <w:rsid w:val="00715A86"/>
    <w:rsid w:val="00715D83"/>
    <w:rsid w:val="007225D0"/>
    <w:rsid w:val="00722B1E"/>
    <w:rsid w:val="00730A36"/>
    <w:rsid w:val="00731F89"/>
    <w:rsid w:val="007323E7"/>
    <w:rsid w:val="00733F60"/>
    <w:rsid w:val="0073520A"/>
    <w:rsid w:val="007358CF"/>
    <w:rsid w:val="007438CB"/>
    <w:rsid w:val="007448CC"/>
    <w:rsid w:val="00762046"/>
    <w:rsid w:val="00766014"/>
    <w:rsid w:val="00781A10"/>
    <w:rsid w:val="007831F0"/>
    <w:rsid w:val="00783ECE"/>
    <w:rsid w:val="00784626"/>
    <w:rsid w:val="00793150"/>
    <w:rsid w:val="007A6D13"/>
    <w:rsid w:val="007B0099"/>
    <w:rsid w:val="007B150C"/>
    <w:rsid w:val="007B16AE"/>
    <w:rsid w:val="007B493D"/>
    <w:rsid w:val="007B72FC"/>
    <w:rsid w:val="007B76FC"/>
    <w:rsid w:val="007C052B"/>
    <w:rsid w:val="007C5813"/>
    <w:rsid w:val="007C5F73"/>
    <w:rsid w:val="007D4C70"/>
    <w:rsid w:val="007D709D"/>
    <w:rsid w:val="007E140D"/>
    <w:rsid w:val="007E61AA"/>
    <w:rsid w:val="007F184A"/>
    <w:rsid w:val="007F678F"/>
    <w:rsid w:val="00802569"/>
    <w:rsid w:val="00806C14"/>
    <w:rsid w:val="008138EE"/>
    <w:rsid w:val="00825574"/>
    <w:rsid w:val="00827BD6"/>
    <w:rsid w:val="00836441"/>
    <w:rsid w:val="00853A15"/>
    <w:rsid w:val="00853C07"/>
    <w:rsid w:val="00861009"/>
    <w:rsid w:val="00861D4E"/>
    <w:rsid w:val="00863505"/>
    <w:rsid w:val="0086514F"/>
    <w:rsid w:val="008717B6"/>
    <w:rsid w:val="0087245A"/>
    <w:rsid w:val="00874434"/>
    <w:rsid w:val="00876591"/>
    <w:rsid w:val="0088518E"/>
    <w:rsid w:val="00885C55"/>
    <w:rsid w:val="00892D78"/>
    <w:rsid w:val="008937C1"/>
    <w:rsid w:val="00894209"/>
    <w:rsid w:val="00894728"/>
    <w:rsid w:val="00894B57"/>
    <w:rsid w:val="0089727E"/>
    <w:rsid w:val="008A2A6B"/>
    <w:rsid w:val="008A37B7"/>
    <w:rsid w:val="008A544C"/>
    <w:rsid w:val="008A71F3"/>
    <w:rsid w:val="008A77BF"/>
    <w:rsid w:val="008B3B57"/>
    <w:rsid w:val="008B485B"/>
    <w:rsid w:val="008B76CF"/>
    <w:rsid w:val="008D08CC"/>
    <w:rsid w:val="008D1C7F"/>
    <w:rsid w:val="008D1E49"/>
    <w:rsid w:val="008D593B"/>
    <w:rsid w:val="008D78FC"/>
    <w:rsid w:val="008E0716"/>
    <w:rsid w:val="008E218E"/>
    <w:rsid w:val="008E337E"/>
    <w:rsid w:val="008E4C6E"/>
    <w:rsid w:val="008F6FED"/>
    <w:rsid w:val="009014AF"/>
    <w:rsid w:val="0090288F"/>
    <w:rsid w:val="00903CB7"/>
    <w:rsid w:val="0091068D"/>
    <w:rsid w:val="00911F18"/>
    <w:rsid w:val="0091206B"/>
    <w:rsid w:val="00917237"/>
    <w:rsid w:val="00917C81"/>
    <w:rsid w:val="00921EB5"/>
    <w:rsid w:val="0092231E"/>
    <w:rsid w:val="00925818"/>
    <w:rsid w:val="009355A1"/>
    <w:rsid w:val="00935B3D"/>
    <w:rsid w:val="009362B7"/>
    <w:rsid w:val="00940269"/>
    <w:rsid w:val="0094277A"/>
    <w:rsid w:val="00943DB4"/>
    <w:rsid w:val="00945E69"/>
    <w:rsid w:val="00956D5D"/>
    <w:rsid w:val="00957B08"/>
    <w:rsid w:val="00960D95"/>
    <w:rsid w:val="009634D3"/>
    <w:rsid w:val="00965A0D"/>
    <w:rsid w:val="00967953"/>
    <w:rsid w:val="00970E8B"/>
    <w:rsid w:val="00972327"/>
    <w:rsid w:val="00981AF6"/>
    <w:rsid w:val="00983A37"/>
    <w:rsid w:val="00983CB7"/>
    <w:rsid w:val="00984749"/>
    <w:rsid w:val="00986C56"/>
    <w:rsid w:val="00987429"/>
    <w:rsid w:val="009903B9"/>
    <w:rsid w:val="009A49E1"/>
    <w:rsid w:val="009B77F9"/>
    <w:rsid w:val="009C0AD0"/>
    <w:rsid w:val="009C0B2E"/>
    <w:rsid w:val="009C6DD9"/>
    <w:rsid w:val="009D078F"/>
    <w:rsid w:val="009D348E"/>
    <w:rsid w:val="009D4BA1"/>
    <w:rsid w:val="009D546E"/>
    <w:rsid w:val="009E11C5"/>
    <w:rsid w:val="009E361D"/>
    <w:rsid w:val="009F0BC8"/>
    <w:rsid w:val="009F2CC8"/>
    <w:rsid w:val="009F5344"/>
    <w:rsid w:val="00A02693"/>
    <w:rsid w:val="00A05E3B"/>
    <w:rsid w:val="00A173DE"/>
    <w:rsid w:val="00A17C74"/>
    <w:rsid w:val="00A23DF7"/>
    <w:rsid w:val="00A31BAE"/>
    <w:rsid w:val="00A34656"/>
    <w:rsid w:val="00A35FE7"/>
    <w:rsid w:val="00A41444"/>
    <w:rsid w:val="00A414F1"/>
    <w:rsid w:val="00A46C5B"/>
    <w:rsid w:val="00A51167"/>
    <w:rsid w:val="00A559FC"/>
    <w:rsid w:val="00A5702B"/>
    <w:rsid w:val="00A572BE"/>
    <w:rsid w:val="00A6348C"/>
    <w:rsid w:val="00A642C1"/>
    <w:rsid w:val="00A672D6"/>
    <w:rsid w:val="00A7190A"/>
    <w:rsid w:val="00A731D3"/>
    <w:rsid w:val="00A7401F"/>
    <w:rsid w:val="00A82008"/>
    <w:rsid w:val="00A85A21"/>
    <w:rsid w:val="00A87036"/>
    <w:rsid w:val="00A8707B"/>
    <w:rsid w:val="00A87138"/>
    <w:rsid w:val="00A91865"/>
    <w:rsid w:val="00A97A07"/>
    <w:rsid w:val="00AA753C"/>
    <w:rsid w:val="00AB0028"/>
    <w:rsid w:val="00AB3324"/>
    <w:rsid w:val="00AB463C"/>
    <w:rsid w:val="00AB4ED1"/>
    <w:rsid w:val="00AB6D37"/>
    <w:rsid w:val="00AC6561"/>
    <w:rsid w:val="00AD13B5"/>
    <w:rsid w:val="00AD1A70"/>
    <w:rsid w:val="00AD3E57"/>
    <w:rsid w:val="00AE16A2"/>
    <w:rsid w:val="00AE19C4"/>
    <w:rsid w:val="00AE26B1"/>
    <w:rsid w:val="00AE69E2"/>
    <w:rsid w:val="00AE6B94"/>
    <w:rsid w:val="00AF20B1"/>
    <w:rsid w:val="00AF47D0"/>
    <w:rsid w:val="00AF6030"/>
    <w:rsid w:val="00B01181"/>
    <w:rsid w:val="00B032BC"/>
    <w:rsid w:val="00B07E02"/>
    <w:rsid w:val="00B154E1"/>
    <w:rsid w:val="00B17933"/>
    <w:rsid w:val="00B1796C"/>
    <w:rsid w:val="00B253E2"/>
    <w:rsid w:val="00B26236"/>
    <w:rsid w:val="00B31958"/>
    <w:rsid w:val="00B3378F"/>
    <w:rsid w:val="00B33FA5"/>
    <w:rsid w:val="00B340E5"/>
    <w:rsid w:val="00B341CF"/>
    <w:rsid w:val="00B47803"/>
    <w:rsid w:val="00B47B5D"/>
    <w:rsid w:val="00B506DA"/>
    <w:rsid w:val="00B540F2"/>
    <w:rsid w:val="00B620B5"/>
    <w:rsid w:val="00B627CA"/>
    <w:rsid w:val="00B65B36"/>
    <w:rsid w:val="00B66655"/>
    <w:rsid w:val="00B73C83"/>
    <w:rsid w:val="00B83CEA"/>
    <w:rsid w:val="00B8434C"/>
    <w:rsid w:val="00B85F69"/>
    <w:rsid w:val="00B9003E"/>
    <w:rsid w:val="00B90093"/>
    <w:rsid w:val="00B93A0B"/>
    <w:rsid w:val="00BA597C"/>
    <w:rsid w:val="00BB08DE"/>
    <w:rsid w:val="00BB1DEA"/>
    <w:rsid w:val="00BB5CB5"/>
    <w:rsid w:val="00BB7C9A"/>
    <w:rsid w:val="00BC51F1"/>
    <w:rsid w:val="00BD2D27"/>
    <w:rsid w:val="00BD3092"/>
    <w:rsid w:val="00BD4C15"/>
    <w:rsid w:val="00BD610F"/>
    <w:rsid w:val="00BD6E49"/>
    <w:rsid w:val="00BD7867"/>
    <w:rsid w:val="00BE185A"/>
    <w:rsid w:val="00BE1F2B"/>
    <w:rsid w:val="00BE7348"/>
    <w:rsid w:val="00BF3694"/>
    <w:rsid w:val="00C0042B"/>
    <w:rsid w:val="00C00725"/>
    <w:rsid w:val="00C06FE7"/>
    <w:rsid w:val="00C169A0"/>
    <w:rsid w:val="00C20C47"/>
    <w:rsid w:val="00C275D5"/>
    <w:rsid w:val="00C27E62"/>
    <w:rsid w:val="00C3178F"/>
    <w:rsid w:val="00C31FFD"/>
    <w:rsid w:val="00C32C11"/>
    <w:rsid w:val="00C338C4"/>
    <w:rsid w:val="00C342D1"/>
    <w:rsid w:val="00C40BBA"/>
    <w:rsid w:val="00C41EB7"/>
    <w:rsid w:val="00C522C0"/>
    <w:rsid w:val="00C5668B"/>
    <w:rsid w:val="00C57DC4"/>
    <w:rsid w:val="00C60110"/>
    <w:rsid w:val="00C60771"/>
    <w:rsid w:val="00C641B6"/>
    <w:rsid w:val="00C721BE"/>
    <w:rsid w:val="00C7265C"/>
    <w:rsid w:val="00C76F15"/>
    <w:rsid w:val="00C779E3"/>
    <w:rsid w:val="00C85496"/>
    <w:rsid w:val="00C878C7"/>
    <w:rsid w:val="00CA3AD9"/>
    <w:rsid w:val="00CA55DC"/>
    <w:rsid w:val="00CA6121"/>
    <w:rsid w:val="00CB42C2"/>
    <w:rsid w:val="00CC15E2"/>
    <w:rsid w:val="00CC2A85"/>
    <w:rsid w:val="00CC3957"/>
    <w:rsid w:val="00CC628D"/>
    <w:rsid w:val="00CD441F"/>
    <w:rsid w:val="00CE0E2D"/>
    <w:rsid w:val="00CE7835"/>
    <w:rsid w:val="00CF27E0"/>
    <w:rsid w:val="00CF5035"/>
    <w:rsid w:val="00CF5C14"/>
    <w:rsid w:val="00CF65CF"/>
    <w:rsid w:val="00D00C47"/>
    <w:rsid w:val="00D021B3"/>
    <w:rsid w:val="00D053D3"/>
    <w:rsid w:val="00D20208"/>
    <w:rsid w:val="00D23571"/>
    <w:rsid w:val="00D31F21"/>
    <w:rsid w:val="00D4129B"/>
    <w:rsid w:val="00D476D1"/>
    <w:rsid w:val="00D47B6D"/>
    <w:rsid w:val="00D52F83"/>
    <w:rsid w:val="00D546B8"/>
    <w:rsid w:val="00D749DE"/>
    <w:rsid w:val="00D755A8"/>
    <w:rsid w:val="00D81CFE"/>
    <w:rsid w:val="00D85100"/>
    <w:rsid w:val="00D87851"/>
    <w:rsid w:val="00DA3603"/>
    <w:rsid w:val="00DA6022"/>
    <w:rsid w:val="00DA61F5"/>
    <w:rsid w:val="00DA620F"/>
    <w:rsid w:val="00DA6CCA"/>
    <w:rsid w:val="00DC27AB"/>
    <w:rsid w:val="00DC373B"/>
    <w:rsid w:val="00DC68AF"/>
    <w:rsid w:val="00DD1F85"/>
    <w:rsid w:val="00DD4235"/>
    <w:rsid w:val="00DE5671"/>
    <w:rsid w:val="00DE6300"/>
    <w:rsid w:val="00DF3E63"/>
    <w:rsid w:val="00E005A3"/>
    <w:rsid w:val="00E14B8C"/>
    <w:rsid w:val="00E163CE"/>
    <w:rsid w:val="00E16BC6"/>
    <w:rsid w:val="00E238E5"/>
    <w:rsid w:val="00E25F3D"/>
    <w:rsid w:val="00E32928"/>
    <w:rsid w:val="00E36E63"/>
    <w:rsid w:val="00E46204"/>
    <w:rsid w:val="00E4672F"/>
    <w:rsid w:val="00E477D4"/>
    <w:rsid w:val="00E50917"/>
    <w:rsid w:val="00E523D5"/>
    <w:rsid w:val="00E5344C"/>
    <w:rsid w:val="00E53A2F"/>
    <w:rsid w:val="00E61C02"/>
    <w:rsid w:val="00E6722F"/>
    <w:rsid w:val="00E672ED"/>
    <w:rsid w:val="00E7346A"/>
    <w:rsid w:val="00E75673"/>
    <w:rsid w:val="00E80208"/>
    <w:rsid w:val="00E841A8"/>
    <w:rsid w:val="00E93A05"/>
    <w:rsid w:val="00E93B40"/>
    <w:rsid w:val="00EA280B"/>
    <w:rsid w:val="00EA38F2"/>
    <w:rsid w:val="00EA5C9B"/>
    <w:rsid w:val="00EB0521"/>
    <w:rsid w:val="00EB461E"/>
    <w:rsid w:val="00EC244B"/>
    <w:rsid w:val="00EC3391"/>
    <w:rsid w:val="00EC37E1"/>
    <w:rsid w:val="00EC53CB"/>
    <w:rsid w:val="00ED1AB6"/>
    <w:rsid w:val="00ED3755"/>
    <w:rsid w:val="00ED5743"/>
    <w:rsid w:val="00ED5986"/>
    <w:rsid w:val="00ED633E"/>
    <w:rsid w:val="00EE0712"/>
    <w:rsid w:val="00EE3058"/>
    <w:rsid w:val="00EE4850"/>
    <w:rsid w:val="00EE53C6"/>
    <w:rsid w:val="00EE7507"/>
    <w:rsid w:val="00EF0083"/>
    <w:rsid w:val="00EF3CD2"/>
    <w:rsid w:val="00F05CAA"/>
    <w:rsid w:val="00F10F3D"/>
    <w:rsid w:val="00F16ACB"/>
    <w:rsid w:val="00F20606"/>
    <w:rsid w:val="00F21564"/>
    <w:rsid w:val="00F31535"/>
    <w:rsid w:val="00F3376D"/>
    <w:rsid w:val="00F354FB"/>
    <w:rsid w:val="00F36D38"/>
    <w:rsid w:val="00F41021"/>
    <w:rsid w:val="00F434C0"/>
    <w:rsid w:val="00F44EE1"/>
    <w:rsid w:val="00F50CD4"/>
    <w:rsid w:val="00F542CC"/>
    <w:rsid w:val="00F60E10"/>
    <w:rsid w:val="00F64A36"/>
    <w:rsid w:val="00F67DF4"/>
    <w:rsid w:val="00F701A3"/>
    <w:rsid w:val="00F773DE"/>
    <w:rsid w:val="00F82414"/>
    <w:rsid w:val="00F92060"/>
    <w:rsid w:val="00F94543"/>
    <w:rsid w:val="00F94A91"/>
    <w:rsid w:val="00FB39A6"/>
    <w:rsid w:val="00FC0118"/>
    <w:rsid w:val="00FC296C"/>
    <w:rsid w:val="00FC3BF1"/>
    <w:rsid w:val="00FD0B22"/>
    <w:rsid w:val="00FD3DDD"/>
    <w:rsid w:val="00FE5DD7"/>
    <w:rsid w:val="00FE61CF"/>
    <w:rsid w:val="00FF0DDE"/>
    <w:rsid w:val="00FF1E2D"/>
    <w:rsid w:val="00FF20D1"/>
    <w:rsid w:val="00FF5032"/>
    <w:rsid w:val="00FF65EF"/>
    <w:rsid w:val="02027612"/>
    <w:rsid w:val="02AC7C9A"/>
    <w:rsid w:val="03010D36"/>
    <w:rsid w:val="04562FD4"/>
    <w:rsid w:val="0491176B"/>
    <w:rsid w:val="053B081B"/>
    <w:rsid w:val="05E355AA"/>
    <w:rsid w:val="06397792"/>
    <w:rsid w:val="06935222"/>
    <w:rsid w:val="07180ADA"/>
    <w:rsid w:val="09C436AB"/>
    <w:rsid w:val="0A24482E"/>
    <w:rsid w:val="0ACE5135"/>
    <w:rsid w:val="0B0D38ED"/>
    <w:rsid w:val="0C2D57D8"/>
    <w:rsid w:val="0CA0388E"/>
    <w:rsid w:val="0CCC74A1"/>
    <w:rsid w:val="0E083B41"/>
    <w:rsid w:val="0F757CE9"/>
    <w:rsid w:val="0FBC26D8"/>
    <w:rsid w:val="10225D68"/>
    <w:rsid w:val="10234972"/>
    <w:rsid w:val="10656D77"/>
    <w:rsid w:val="110A4FFF"/>
    <w:rsid w:val="113F5F51"/>
    <w:rsid w:val="118C6BC2"/>
    <w:rsid w:val="140719B9"/>
    <w:rsid w:val="149A17F8"/>
    <w:rsid w:val="15B378FD"/>
    <w:rsid w:val="16947758"/>
    <w:rsid w:val="172F064F"/>
    <w:rsid w:val="17970FFB"/>
    <w:rsid w:val="17AF66D2"/>
    <w:rsid w:val="19E30D62"/>
    <w:rsid w:val="1A3103FE"/>
    <w:rsid w:val="1C5B6281"/>
    <w:rsid w:val="1D7035F7"/>
    <w:rsid w:val="1FDE4DBA"/>
    <w:rsid w:val="20E26732"/>
    <w:rsid w:val="21782AF7"/>
    <w:rsid w:val="23124AC1"/>
    <w:rsid w:val="23CE18C6"/>
    <w:rsid w:val="23E75639"/>
    <w:rsid w:val="25730ECC"/>
    <w:rsid w:val="25843B0D"/>
    <w:rsid w:val="29667A55"/>
    <w:rsid w:val="29820A76"/>
    <w:rsid w:val="29C86922"/>
    <w:rsid w:val="29F7084D"/>
    <w:rsid w:val="2A31669D"/>
    <w:rsid w:val="2A3C6663"/>
    <w:rsid w:val="2A412793"/>
    <w:rsid w:val="2A765C78"/>
    <w:rsid w:val="2B1D4FF1"/>
    <w:rsid w:val="2E65543F"/>
    <w:rsid w:val="2F0361F1"/>
    <w:rsid w:val="2F2F2B6F"/>
    <w:rsid w:val="2F565BF4"/>
    <w:rsid w:val="2F662205"/>
    <w:rsid w:val="313921C9"/>
    <w:rsid w:val="31FF16AF"/>
    <w:rsid w:val="32254515"/>
    <w:rsid w:val="32704FDB"/>
    <w:rsid w:val="327754EF"/>
    <w:rsid w:val="338E62A6"/>
    <w:rsid w:val="33B17E59"/>
    <w:rsid w:val="33DB598F"/>
    <w:rsid w:val="34C4320A"/>
    <w:rsid w:val="3527569E"/>
    <w:rsid w:val="35C7023F"/>
    <w:rsid w:val="386B328E"/>
    <w:rsid w:val="387E68E3"/>
    <w:rsid w:val="38827A97"/>
    <w:rsid w:val="3AAD41D8"/>
    <w:rsid w:val="3AFE0CBF"/>
    <w:rsid w:val="3B996D5B"/>
    <w:rsid w:val="3C403087"/>
    <w:rsid w:val="3CB12907"/>
    <w:rsid w:val="3CC50D46"/>
    <w:rsid w:val="3CEB60FB"/>
    <w:rsid w:val="3D1D08C6"/>
    <w:rsid w:val="3E6A003B"/>
    <w:rsid w:val="3EE32F31"/>
    <w:rsid w:val="3F9006D6"/>
    <w:rsid w:val="406960D0"/>
    <w:rsid w:val="436118B0"/>
    <w:rsid w:val="436C5B80"/>
    <w:rsid w:val="44217394"/>
    <w:rsid w:val="445C130F"/>
    <w:rsid w:val="44E15933"/>
    <w:rsid w:val="44F96AEA"/>
    <w:rsid w:val="451E3E27"/>
    <w:rsid w:val="45EA7197"/>
    <w:rsid w:val="476A3B69"/>
    <w:rsid w:val="489C0C17"/>
    <w:rsid w:val="49062A77"/>
    <w:rsid w:val="494F433E"/>
    <w:rsid w:val="49D172A6"/>
    <w:rsid w:val="4A365275"/>
    <w:rsid w:val="4B6410FB"/>
    <w:rsid w:val="4B692C57"/>
    <w:rsid w:val="4C372D2D"/>
    <w:rsid w:val="4C565BD5"/>
    <w:rsid w:val="4DAE3693"/>
    <w:rsid w:val="4DAF41A0"/>
    <w:rsid w:val="4DB75812"/>
    <w:rsid w:val="4E26426B"/>
    <w:rsid w:val="4EBB40C5"/>
    <w:rsid w:val="4F3039CF"/>
    <w:rsid w:val="4FE57E31"/>
    <w:rsid w:val="503F290D"/>
    <w:rsid w:val="509A4FDD"/>
    <w:rsid w:val="50A06B82"/>
    <w:rsid w:val="52145574"/>
    <w:rsid w:val="52570748"/>
    <w:rsid w:val="52653B1D"/>
    <w:rsid w:val="52D04B09"/>
    <w:rsid w:val="544A4300"/>
    <w:rsid w:val="545F0D5B"/>
    <w:rsid w:val="54912AA3"/>
    <w:rsid w:val="56035F5E"/>
    <w:rsid w:val="5627152A"/>
    <w:rsid w:val="5629761B"/>
    <w:rsid w:val="575C5335"/>
    <w:rsid w:val="57744380"/>
    <w:rsid w:val="58303495"/>
    <w:rsid w:val="59071798"/>
    <w:rsid w:val="59F4120B"/>
    <w:rsid w:val="5A1A7C8D"/>
    <w:rsid w:val="5A2F67DC"/>
    <w:rsid w:val="5AD54C0F"/>
    <w:rsid w:val="5B9A5D8F"/>
    <w:rsid w:val="5C651B97"/>
    <w:rsid w:val="5D902A97"/>
    <w:rsid w:val="5E1D2D7B"/>
    <w:rsid w:val="5E21238B"/>
    <w:rsid w:val="60450EB2"/>
    <w:rsid w:val="628639A1"/>
    <w:rsid w:val="62D058DF"/>
    <w:rsid w:val="63D3218D"/>
    <w:rsid w:val="64573DE9"/>
    <w:rsid w:val="648D7B6C"/>
    <w:rsid w:val="64B365AF"/>
    <w:rsid w:val="64C9752C"/>
    <w:rsid w:val="64EE5A59"/>
    <w:rsid w:val="65377F2E"/>
    <w:rsid w:val="66C77DCC"/>
    <w:rsid w:val="66E90241"/>
    <w:rsid w:val="676C2742"/>
    <w:rsid w:val="676F605C"/>
    <w:rsid w:val="677B6CDD"/>
    <w:rsid w:val="686E13D0"/>
    <w:rsid w:val="69C80067"/>
    <w:rsid w:val="6ACD321E"/>
    <w:rsid w:val="6B166F40"/>
    <w:rsid w:val="6B8A3F2D"/>
    <w:rsid w:val="6D284A7C"/>
    <w:rsid w:val="6E133DAB"/>
    <w:rsid w:val="6EBE1A35"/>
    <w:rsid w:val="70DC07D3"/>
    <w:rsid w:val="71971E5F"/>
    <w:rsid w:val="719C7AE2"/>
    <w:rsid w:val="725E5648"/>
    <w:rsid w:val="726A1B95"/>
    <w:rsid w:val="72750FD5"/>
    <w:rsid w:val="729447DA"/>
    <w:rsid w:val="72C218A6"/>
    <w:rsid w:val="73667F84"/>
    <w:rsid w:val="73A662D9"/>
    <w:rsid w:val="73DB3596"/>
    <w:rsid w:val="760F30BE"/>
    <w:rsid w:val="76612DCA"/>
    <w:rsid w:val="76C942F0"/>
    <w:rsid w:val="76DC7640"/>
    <w:rsid w:val="78A61E8F"/>
    <w:rsid w:val="78E0091E"/>
    <w:rsid w:val="7A4A2117"/>
    <w:rsid w:val="7B0A4865"/>
    <w:rsid w:val="7B602D14"/>
    <w:rsid w:val="7BE00E8F"/>
    <w:rsid w:val="D5EF2D28"/>
    <w:rsid w:val="DBE7EC5E"/>
    <w:rsid w:val="EFEF7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Cs w:val="32"/>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paragraph" w:styleId="4">
    <w:name w:val="heading 5"/>
    <w:basedOn w:val="1"/>
    <w:next w:val="1"/>
    <w:autoRedefine/>
    <w:qFormat/>
    <w:uiPriority w:val="9"/>
    <w:pPr>
      <w:keepNext/>
      <w:keepLines/>
      <w:numPr>
        <w:ilvl w:val="4"/>
        <w:numId w:val="1"/>
      </w:numPr>
      <w:spacing w:before="280" w:after="290" w:line="377" w:lineRule="auto"/>
      <w:ind w:left="1008"/>
      <w:outlineLvl w:val="4"/>
    </w:pPr>
    <w:rPr>
      <w:rFonts w:eastAsia="黑体"/>
      <w:b/>
      <w:bCs/>
      <w:sz w:val="24"/>
      <w:szCs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link w:val="23"/>
    <w:autoRedefine/>
    <w:qFormat/>
    <w:uiPriority w:val="0"/>
    <w:pPr>
      <w:jc w:val="left"/>
    </w:pPr>
  </w:style>
  <w:style w:type="paragraph" w:styleId="6">
    <w:name w:val="Body Text"/>
    <w:basedOn w:val="1"/>
    <w:autoRedefine/>
    <w:qFormat/>
    <w:uiPriority w:val="1"/>
    <w:pPr>
      <w:autoSpaceDE w:val="0"/>
      <w:autoSpaceDN w:val="0"/>
      <w:jc w:val="left"/>
    </w:pPr>
    <w:rPr>
      <w:rFonts w:ascii="宋体" w:hAnsi="宋体" w:cs="宋体"/>
      <w:kern w:val="0"/>
      <w:sz w:val="32"/>
      <w:szCs w:val="32"/>
      <w:lang w:val="zh-CN" w:bidi="zh-CN"/>
    </w:rPr>
  </w:style>
  <w:style w:type="paragraph" w:styleId="7">
    <w:name w:val="Body Text Indent"/>
    <w:basedOn w:val="1"/>
    <w:autoRedefine/>
    <w:qFormat/>
    <w:uiPriority w:val="0"/>
    <w:pPr>
      <w:spacing w:after="120"/>
      <w:ind w:left="420" w:leftChars="200"/>
    </w:pPr>
  </w:style>
  <w:style w:type="paragraph" w:styleId="8">
    <w:name w:val="Balloon Text"/>
    <w:basedOn w:val="1"/>
    <w:link w:val="28"/>
    <w:autoRedefine/>
    <w:qFormat/>
    <w:uiPriority w:val="0"/>
    <w:rPr>
      <w:sz w:val="18"/>
      <w:szCs w:val="18"/>
    </w:rPr>
  </w:style>
  <w:style w:type="paragraph" w:styleId="9">
    <w:name w:val="footer"/>
    <w:basedOn w:val="1"/>
    <w:autoRedefine/>
    <w:unhideWhenUsed/>
    <w:qFormat/>
    <w:uiPriority w:val="0"/>
    <w:pPr>
      <w:tabs>
        <w:tab w:val="center" w:pos="4153"/>
        <w:tab w:val="right" w:pos="8306"/>
      </w:tabs>
      <w:snapToGrid w:val="0"/>
      <w:jc w:val="left"/>
    </w:pPr>
    <w:rPr>
      <w:kern w:val="0"/>
      <w:sz w:val="18"/>
      <w:szCs w:val="18"/>
    </w:rPr>
  </w:style>
  <w:style w:type="paragraph" w:styleId="10">
    <w:name w:val="header"/>
    <w:basedOn w:val="1"/>
    <w:autoRedefine/>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Normal (Web)"/>
    <w:basedOn w:val="1"/>
    <w:autoRedefine/>
    <w:qFormat/>
    <w:uiPriority w:val="99"/>
    <w:pPr>
      <w:spacing w:beforeAutospacing="1" w:afterAutospacing="1"/>
      <w:jc w:val="left"/>
    </w:pPr>
    <w:rPr>
      <w:kern w:val="0"/>
      <w:sz w:val="24"/>
    </w:rPr>
  </w:style>
  <w:style w:type="paragraph" w:styleId="12">
    <w:name w:val="annotation subject"/>
    <w:basedOn w:val="5"/>
    <w:next w:val="5"/>
    <w:link w:val="24"/>
    <w:autoRedefine/>
    <w:qFormat/>
    <w:uiPriority w:val="0"/>
    <w:rPr>
      <w:b/>
      <w:bCs/>
    </w:rPr>
  </w:style>
  <w:style w:type="paragraph" w:styleId="13">
    <w:name w:val="Body Text First Indent 2"/>
    <w:basedOn w:val="7"/>
    <w:autoRedefine/>
    <w:qFormat/>
    <w:uiPriority w:val="0"/>
    <w:pPr>
      <w:ind w:firstLine="420" w:firstLineChars="200"/>
    </w:pPr>
  </w:style>
  <w:style w:type="table" w:styleId="15">
    <w:name w:val="Table Grid"/>
    <w:basedOn w:val="14"/>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0"/>
    <w:rPr>
      <w:b/>
    </w:rPr>
  </w:style>
  <w:style w:type="character" w:styleId="18">
    <w:name w:val="page number"/>
    <w:basedOn w:val="16"/>
    <w:autoRedefine/>
    <w:qFormat/>
    <w:uiPriority w:val="0"/>
  </w:style>
  <w:style w:type="character" w:styleId="19">
    <w:name w:val="Emphasis"/>
    <w:basedOn w:val="16"/>
    <w:autoRedefine/>
    <w:qFormat/>
    <w:uiPriority w:val="0"/>
    <w:rPr>
      <w:i/>
    </w:rPr>
  </w:style>
  <w:style w:type="character" w:styleId="20">
    <w:name w:val="Hyperlink"/>
    <w:basedOn w:val="16"/>
    <w:autoRedefine/>
    <w:qFormat/>
    <w:uiPriority w:val="0"/>
    <w:rPr>
      <w:color w:val="0000FF"/>
      <w:u w:val="single"/>
    </w:rPr>
  </w:style>
  <w:style w:type="character" w:styleId="21">
    <w:name w:val="annotation reference"/>
    <w:basedOn w:val="16"/>
    <w:autoRedefine/>
    <w:qFormat/>
    <w:uiPriority w:val="0"/>
    <w:rPr>
      <w:sz w:val="21"/>
      <w:szCs w:val="21"/>
    </w:rPr>
  </w:style>
  <w:style w:type="paragraph" w:customStyle="1" w:styleId="22">
    <w:name w:val="Table Paragraph"/>
    <w:basedOn w:val="1"/>
    <w:autoRedefine/>
    <w:qFormat/>
    <w:uiPriority w:val="1"/>
    <w:rPr>
      <w:rFonts w:ascii="Noto Sans Mono CJK JP Bold" w:hAnsi="Noto Sans Mono CJK JP Bold" w:cs="Noto Sans Mono CJK JP Bold"/>
    </w:rPr>
  </w:style>
  <w:style w:type="character" w:customStyle="1" w:styleId="23">
    <w:name w:val="批注文字 字符"/>
    <w:basedOn w:val="16"/>
    <w:link w:val="5"/>
    <w:autoRedefine/>
    <w:qFormat/>
    <w:uiPriority w:val="0"/>
    <w:rPr>
      <w:kern w:val="2"/>
      <w:sz w:val="21"/>
      <w:szCs w:val="22"/>
    </w:rPr>
  </w:style>
  <w:style w:type="character" w:customStyle="1" w:styleId="24">
    <w:name w:val="批注主题 字符"/>
    <w:basedOn w:val="23"/>
    <w:link w:val="12"/>
    <w:autoRedefine/>
    <w:qFormat/>
    <w:uiPriority w:val="0"/>
    <w:rPr>
      <w:b/>
      <w:bCs/>
      <w:kern w:val="2"/>
      <w:sz w:val="21"/>
      <w:szCs w:val="22"/>
    </w:rPr>
  </w:style>
  <w:style w:type="paragraph" w:customStyle="1" w:styleId="25">
    <w:name w:val="修订1"/>
    <w:autoRedefine/>
    <w:hidden/>
    <w:semiHidden/>
    <w:qFormat/>
    <w:uiPriority w:val="99"/>
    <w:rPr>
      <w:rFonts w:ascii="Times New Roman" w:hAnsi="Times New Roman" w:eastAsia="宋体" w:cs="Times New Roman"/>
      <w:kern w:val="2"/>
      <w:sz w:val="21"/>
      <w:szCs w:val="22"/>
      <w:lang w:val="en-US" w:eastAsia="zh-CN" w:bidi="ar-SA"/>
    </w:rPr>
  </w:style>
  <w:style w:type="paragraph" w:customStyle="1" w:styleId="26">
    <w:name w:val="修订2"/>
    <w:autoRedefine/>
    <w:hidden/>
    <w:semiHidden/>
    <w:qFormat/>
    <w:uiPriority w:val="99"/>
    <w:rPr>
      <w:rFonts w:ascii="Times New Roman" w:hAnsi="Times New Roman" w:eastAsia="宋体" w:cs="Times New Roman"/>
      <w:kern w:val="2"/>
      <w:sz w:val="21"/>
      <w:szCs w:val="22"/>
      <w:lang w:val="en-US" w:eastAsia="zh-CN" w:bidi="ar-SA"/>
    </w:rPr>
  </w:style>
  <w:style w:type="paragraph" w:styleId="27">
    <w:name w:val="List Paragraph"/>
    <w:basedOn w:val="1"/>
    <w:autoRedefine/>
    <w:qFormat/>
    <w:uiPriority w:val="99"/>
    <w:pPr>
      <w:ind w:firstLine="420" w:firstLineChars="200"/>
    </w:pPr>
  </w:style>
  <w:style w:type="character" w:customStyle="1" w:styleId="28">
    <w:name w:val="批注框文本 字符"/>
    <w:basedOn w:val="16"/>
    <w:link w:val="8"/>
    <w:autoRedefine/>
    <w:qFormat/>
    <w:uiPriority w:val="0"/>
    <w:rPr>
      <w:kern w:val="2"/>
      <w:sz w:val="18"/>
      <w:szCs w:val="18"/>
    </w:rPr>
  </w:style>
  <w:style w:type="character" w:customStyle="1" w:styleId="29">
    <w:name w:val="明显强调1"/>
    <w:basedOn w:val="16"/>
    <w:autoRedefine/>
    <w:qFormat/>
    <w:uiPriority w:val="21"/>
    <w:rPr>
      <w:i/>
      <w:iCs/>
      <w:color w:val="4F81BD" w:themeColor="accent1"/>
      <w14:textFill>
        <w14:solidFill>
          <w14:schemeClr w14:val="accent1"/>
        </w14:solidFill>
      </w14:textFill>
    </w:rPr>
  </w:style>
  <w:style w:type="character" w:customStyle="1" w:styleId="30">
    <w:name w:val="明显参考1"/>
    <w:basedOn w:val="16"/>
    <w:autoRedefine/>
    <w:qFormat/>
    <w:uiPriority w:val="32"/>
    <w:rPr>
      <w:b/>
      <w:bCs/>
      <w:smallCaps/>
      <w:color w:val="4F81BD" w:themeColor="accent1"/>
      <w:spacing w:val="5"/>
      <w14:textFill>
        <w14:solidFill>
          <w14:schemeClr w14:val="accent1"/>
        </w14:solidFill>
      </w14:textFill>
    </w:rPr>
  </w:style>
  <w:style w:type="character" w:customStyle="1" w:styleId="31">
    <w:name w:val="明显强调2"/>
    <w:basedOn w:val="16"/>
    <w:autoRedefine/>
    <w:qFormat/>
    <w:uiPriority w:val="21"/>
    <w:rPr>
      <w:i/>
      <w:iCs/>
      <w:color w:val="4F81BD" w:themeColor="accent1"/>
      <w14:textFill>
        <w14:solidFill>
          <w14:schemeClr w14:val="accent1"/>
        </w14:solidFill>
      </w14:textFill>
    </w:rPr>
  </w:style>
  <w:style w:type="character" w:customStyle="1" w:styleId="32">
    <w:name w:val="明显参考2"/>
    <w:basedOn w:val="16"/>
    <w:autoRedefine/>
    <w:qFormat/>
    <w:uiPriority w:val="32"/>
    <w:rPr>
      <w:b/>
      <w:bCs/>
      <w:smallCaps/>
      <w:color w:val="4F81BD" w:themeColor="accent1"/>
      <w:spacing w:val="5"/>
      <w14:textFill>
        <w14:solidFill>
          <w14:schemeClr w14:val="accent1"/>
        </w14:solidFill>
      </w14:textFill>
    </w:rPr>
  </w:style>
  <w:style w:type="paragraph" w:customStyle="1" w:styleId="33">
    <w:name w:val="正文首行缩进 21"/>
    <w:basedOn w:val="7"/>
    <w:autoRedefine/>
    <w:qFormat/>
    <w:uiPriority w:val="0"/>
    <w:pPr>
      <w:spacing w:before="100" w:beforeAutospacing="1" w:after="0"/>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D8E01-A3DE-4428-AAFA-BF0602FFE365}">
  <ds:schemaRefs/>
</ds:datastoreItem>
</file>

<file path=docProps/app.xml><?xml version="1.0" encoding="utf-8"?>
<Properties xmlns="http://schemas.openxmlformats.org/officeDocument/2006/extended-properties" xmlns:vt="http://schemas.openxmlformats.org/officeDocument/2006/docPropsVTypes">
  <Template>Normal</Template>
  <Pages>21</Pages>
  <Words>1653</Words>
  <Characters>9423</Characters>
  <Lines>78</Lines>
  <Paragraphs>22</Paragraphs>
  <TotalTime>18</TotalTime>
  <ScaleCrop>false</ScaleCrop>
  <LinksUpToDate>false</LinksUpToDate>
  <CharactersWithSpaces>11054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2024-02-26T02:09:00Z</dcterms:created>
  <dc:creator>李森</dc:creator>
  <cp:lastModifiedBy>黄运平</cp:lastModifiedBy>
  <cp:lastPrinted>2022-07-25T09:37:00Z</cp:lastPrinted>
  <dcterms:modified xsi:type="dcterms:W3CDTF">2024-02-26T07:10:01Z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0D6D710CE6D6412E9D6D990E15E7B17C_13</vt:lpwstr>
  </property>
</Properties>
</file>